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6CC" w:rsidRDefault="007766B5">
      <w:pPr>
        <w:pStyle w:val="Header"/>
        <w:rPr>
          <w:rFonts w:ascii="Arial" w:hAnsi="Arial"/>
          <w:sz w:val="28"/>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-38100</wp:posOffset>
            </wp:positionH>
            <wp:positionV relativeFrom="paragraph">
              <wp:posOffset>-5080</wp:posOffset>
            </wp:positionV>
            <wp:extent cx="5467350" cy="476250"/>
            <wp:effectExtent l="0" t="0" r="0" b="0"/>
            <wp:wrapNone/>
            <wp:docPr id="3" name="Picture 3" descr="esupp new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upp new graphi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67350"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5979" w:rsidRPr="00B82850" w:rsidRDefault="002B5979" w:rsidP="00BC4005">
      <w:pPr>
        <w:pStyle w:val="Header"/>
        <w:outlineLvl w:val="0"/>
        <w:rPr>
          <w:rFonts w:ascii="Arial Rounded MT Bold" w:hAnsi="Arial Rounded MT Bold" w:cs="Arial"/>
          <w:sz w:val="21"/>
          <w:szCs w:val="21"/>
        </w:rPr>
      </w:pPr>
      <w:r>
        <w:rPr>
          <w:rFonts w:ascii="Arial" w:hAnsi="Arial"/>
          <w:sz w:val="28"/>
        </w:rPr>
        <w:t xml:space="preserve">           </w:t>
      </w:r>
      <w:r w:rsidRPr="00B82850">
        <w:rPr>
          <w:rFonts w:ascii="Arial Rounded MT Bold" w:hAnsi="Arial Rounded MT Bold" w:cs="Arial"/>
          <w:sz w:val="21"/>
          <w:szCs w:val="21"/>
        </w:rPr>
        <w:t>SUPPORTING INFORMATION FOR:</w:t>
      </w:r>
    </w:p>
    <w:p w:rsidR="002B5979" w:rsidRDefault="002B5979">
      <w:pPr>
        <w:pStyle w:val="Header"/>
        <w:rPr>
          <w:rFonts w:ascii="Arial" w:hAnsi="Arial"/>
          <w:sz w:val="28"/>
        </w:rPr>
      </w:pPr>
    </w:p>
    <w:p w:rsidR="00637D84" w:rsidRPr="008929D7" w:rsidRDefault="00A74481" w:rsidP="00A74481">
      <w:pPr>
        <w:pStyle w:val="Header"/>
        <w:rPr>
          <w:rFonts w:ascii="Arial" w:hAnsi="Arial"/>
          <w:b/>
          <w:sz w:val="28"/>
        </w:rPr>
      </w:pPr>
      <w:r>
        <w:rPr>
          <w:rFonts w:ascii="Arial" w:hAnsi="Arial"/>
          <w:sz w:val="28"/>
        </w:rPr>
        <w:t>Noori</w:t>
      </w:r>
      <w:r w:rsidR="0067182A">
        <w:rPr>
          <w:rFonts w:ascii="Arial" w:hAnsi="Arial"/>
          <w:sz w:val="28"/>
        </w:rPr>
        <w:t xml:space="preserve">, </w:t>
      </w:r>
      <w:r>
        <w:rPr>
          <w:rFonts w:ascii="Arial" w:hAnsi="Arial"/>
          <w:sz w:val="28"/>
        </w:rPr>
        <w:t>S</w:t>
      </w:r>
      <w:r w:rsidR="008929D7">
        <w:rPr>
          <w:rFonts w:ascii="Arial" w:hAnsi="Arial"/>
          <w:sz w:val="28"/>
        </w:rPr>
        <w:t>.</w:t>
      </w:r>
      <w:r w:rsidR="00957CB3">
        <w:rPr>
          <w:rFonts w:ascii="Arial" w:hAnsi="Arial"/>
          <w:sz w:val="28"/>
        </w:rPr>
        <w:t xml:space="preserve">, </w:t>
      </w:r>
      <w:r>
        <w:rPr>
          <w:rFonts w:ascii="Arial" w:hAnsi="Arial"/>
          <w:sz w:val="28"/>
        </w:rPr>
        <w:t>Korevaar</w:t>
      </w:r>
      <w:r w:rsidR="00957CB3">
        <w:rPr>
          <w:rFonts w:ascii="Arial" w:hAnsi="Arial"/>
          <w:sz w:val="28"/>
        </w:rPr>
        <w:t>,</w:t>
      </w:r>
      <w:r w:rsidR="009F5CBF">
        <w:rPr>
          <w:rFonts w:ascii="Arial" w:hAnsi="Arial"/>
          <w:sz w:val="28"/>
        </w:rPr>
        <w:t xml:space="preserve"> </w:t>
      </w:r>
      <w:r>
        <w:rPr>
          <w:rFonts w:ascii="Arial" w:hAnsi="Arial"/>
          <w:sz w:val="28"/>
        </w:rPr>
        <w:t>G</w:t>
      </w:r>
      <w:r w:rsidR="00DB45F4">
        <w:rPr>
          <w:rFonts w:ascii="Arial" w:hAnsi="Arial"/>
          <w:sz w:val="28"/>
        </w:rPr>
        <w:t>.</w:t>
      </w:r>
      <w:r>
        <w:rPr>
          <w:rFonts w:ascii="Arial" w:hAnsi="Arial"/>
          <w:sz w:val="28"/>
        </w:rPr>
        <w:t xml:space="preserve">, </w:t>
      </w:r>
      <w:r w:rsidRPr="00A74481">
        <w:rPr>
          <w:rFonts w:ascii="Arial" w:hAnsi="Arial"/>
          <w:sz w:val="28"/>
        </w:rPr>
        <w:t>Stikkelman, R.,</w:t>
      </w:r>
      <w:r w:rsidR="00DB45F4">
        <w:rPr>
          <w:rFonts w:ascii="Arial" w:hAnsi="Arial"/>
          <w:sz w:val="28"/>
        </w:rPr>
        <w:t xml:space="preserve"> &amp; </w:t>
      </w:r>
      <w:r w:rsidRPr="006805EB">
        <w:rPr>
          <w:rFonts w:ascii="Arial" w:hAnsi="Arial"/>
          <w:sz w:val="28"/>
        </w:rPr>
        <w:t>Ramírez</w:t>
      </w:r>
      <w:r w:rsidR="00DB45F4">
        <w:rPr>
          <w:rFonts w:ascii="Arial" w:hAnsi="Arial"/>
          <w:sz w:val="28"/>
        </w:rPr>
        <w:t xml:space="preserve">, </w:t>
      </w:r>
      <w:r>
        <w:rPr>
          <w:rFonts w:ascii="Arial" w:hAnsi="Arial"/>
          <w:sz w:val="28"/>
        </w:rPr>
        <w:t>A</w:t>
      </w:r>
      <w:r w:rsidR="00DB45F4">
        <w:rPr>
          <w:rFonts w:ascii="Arial" w:hAnsi="Arial"/>
          <w:sz w:val="28"/>
        </w:rPr>
        <w:t>.</w:t>
      </w:r>
      <w:r w:rsidR="008929D7">
        <w:rPr>
          <w:rFonts w:ascii="Arial" w:hAnsi="Arial"/>
          <w:sz w:val="28"/>
        </w:rPr>
        <w:t xml:space="preserve"> </w:t>
      </w:r>
      <w:r w:rsidR="00DB45F4">
        <w:rPr>
          <w:rFonts w:ascii="Arial" w:hAnsi="Arial"/>
          <w:sz w:val="28"/>
        </w:rPr>
        <w:t>(</w:t>
      </w:r>
      <w:r w:rsidR="008929D7">
        <w:rPr>
          <w:rFonts w:ascii="Arial" w:hAnsi="Arial"/>
          <w:sz w:val="28"/>
        </w:rPr>
        <w:t>20</w:t>
      </w:r>
      <w:r w:rsidR="003328E4">
        <w:rPr>
          <w:rFonts w:ascii="Arial" w:hAnsi="Arial"/>
          <w:sz w:val="28"/>
        </w:rPr>
        <w:t>2</w:t>
      </w:r>
      <w:r>
        <w:rPr>
          <w:rFonts w:ascii="Arial" w:hAnsi="Arial"/>
          <w:sz w:val="28"/>
        </w:rPr>
        <w:t>2</w:t>
      </w:r>
      <w:r w:rsidR="00AB3506">
        <w:rPr>
          <w:rFonts w:ascii="Arial" w:hAnsi="Arial"/>
          <w:sz w:val="28"/>
        </w:rPr>
        <w:t>.</w:t>
      </w:r>
      <w:r w:rsidR="00DB45F4">
        <w:rPr>
          <w:rFonts w:ascii="Arial" w:hAnsi="Arial"/>
          <w:sz w:val="28"/>
        </w:rPr>
        <w:t>)</w:t>
      </w:r>
      <w:r w:rsidR="00281931" w:rsidRPr="00281931">
        <w:t xml:space="preserve"> </w:t>
      </w:r>
      <w:r w:rsidRPr="00A74481">
        <w:rPr>
          <w:rFonts w:ascii="Arial" w:hAnsi="Arial"/>
          <w:sz w:val="28"/>
        </w:rPr>
        <w:t>Exploring the emergence of waste recovery and exchange in industrial clusters</w:t>
      </w:r>
      <w:r w:rsidR="0067182A">
        <w:rPr>
          <w:rFonts w:ascii="Arial" w:hAnsi="Arial"/>
          <w:sz w:val="28"/>
        </w:rPr>
        <w:t xml:space="preserve">. </w:t>
      </w:r>
      <w:r w:rsidR="0067182A" w:rsidRPr="0067182A">
        <w:rPr>
          <w:rFonts w:ascii="Arial" w:hAnsi="Arial"/>
          <w:i/>
          <w:sz w:val="28"/>
        </w:rPr>
        <w:t>Journal of Industrial Ecology.</w:t>
      </w:r>
    </w:p>
    <w:p w:rsidR="00637D84" w:rsidRDefault="00E72813">
      <w:pPr>
        <w:pStyle w:val="Header"/>
        <w:rPr>
          <w:rFonts w:ascii="Garamond" w:hAnsi="Garamond"/>
          <w:sz w:val="20"/>
        </w:rPr>
      </w:pPr>
      <w:r>
        <w:rPr>
          <w:rFonts w:ascii="Garamond" w:hAnsi="Garamond"/>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6pt;margin-top:11.45pt;width:259.5pt;height:20.25pt;z-index:251657216;mso-wrap-edited:f" o:allowincell="f">
            <v:imagedata r:id="rId9" o:title=""/>
            <w10:wrap type="topAndBottom"/>
          </v:shape>
          <o:OLEObject Type="Embed" ProgID="PBrush" ShapeID="_x0000_s1026" DrawAspect="Content" ObjectID="_1704114835" r:id="rId10"/>
        </w:object>
      </w:r>
    </w:p>
    <w:p w:rsidR="00281931" w:rsidRDefault="0067182A" w:rsidP="006805EB">
      <w:pPr>
        <w:rPr>
          <w:rFonts w:ascii="Arial" w:hAnsi="Arial"/>
          <w:sz w:val="22"/>
        </w:rPr>
      </w:pPr>
      <w:r>
        <w:rPr>
          <w:rFonts w:ascii="Arial" w:hAnsi="Arial"/>
          <w:sz w:val="22"/>
        </w:rPr>
        <w:t xml:space="preserve">This supporting information </w:t>
      </w:r>
      <w:r w:rsidR="00957CB3">
        <w:rPr>
          <w:rFonts w:ascii="Arial" w:hAnsi="Arial"/>
          <w:sz w:val="22"/>
        </w:rPr>
        <w:t>provides</w:t>
      </w:r>
      <w:r w:rsidR="00AF76BD">
        <w:rPr>
          <w:rFonts w:ascii="Arial" w:hAnsi="Arial"/>
          <w:sz w:val="22"/>
        </w:rPr>
        <w:t xml:space="preserve"> a brief description about Linny-R software and its functionalities in cluster modeling</w:t>
      </w:r>
      <w:r w:rsidR="009A31CE">
        <w:rPr>
          <w:rFonts w:ascii="Arial" w:hAnsi="Arial"/>
          <w:sz w:val="22"/>
        </w:rPr>
        <w:t>.</w:t>
      </w:r>
      <w:r w:rsidR="00AF76BD">
        <w:rPr>
          <w:rFonts w:ascii="Arial" w:hAnsi="Arial"/>
          <w:sz w:val="22"/>
        </w:rPr>
        <w:t xml:space="preserve"> Moreover, it presents </w:t>
      </w:r>
      <w:r w:rsidR="006805EB">
        <w:rPr>
          <w:rFonts w:ascii="Arial" w:hAnsi="Arial"/>
          <w:sz w:val="22"/>
        </w:rPr>
        <w:t xml:space="preserve">technical and economic </w:t>
      </w:r>
      <w:r w:rsidR="00AF76BD">
        <w:rPr>
          <w:rFonts w:ascii="Arial" w:hAnsi="Arial"/>
          <w:sz w:val="22"/>
        </w:rPr>
        <w:t xml:space="preserve">input data to Linny-R models </w:t>
      </w:r>
      <w:r w:rsidR="006805EB">
        <w:rPr>
          <w:rFonts w:ascii="Arial" w:hAnsi="Arial"/>
          <w:sz w:val="22"/>
        </w:rPr>
        <w:t xml:space="preserve">generated </w:t>
      </w:r>
      <w:r w:rsidR="00AF76BD">
        <w:rPr>
          <w:rFonts w:ascii="Arial" w:hAnsi="Arial"/>
          <w:sz w:val="22"/>
        </w:rPr>
        <w:t xml:space="preserve">in </w:t>
      </w:r>
      <w:r w:rsidR="006805EB">
        <w:rPr>
          <w:rFonts w:ascii="Arial" w:hAnsi="Arial"/>
          <w:sz w:val="22"/>
        </w:rPr>
        <w:t>this work</w:t>
      </w:r>
      <w:r w:rsidR="00AF76BD">
        <w:rPr>
          <w:rFonts w:ascii="Arial" w:hAnsi="Arial"/>
          <w:sz w:val="22"/>
        </w:rPr>
        <w:t>.</w:t>
      </w:r>
    </w:p>
    <w:p w:rsidR="00637D84" w:rsidRDefault="007766B5" w:rsidP="00281931">
      <w:pPr>
        <w:jc w:val="right"/>
        <w:rPr>
          <w:rFonts w:ascii="Garamond" w:hAnsi="Garamond"/>
          <w:sz w:val="20"/>
        </w:rPr>
      </w:pPr>
      <w:r w:rsidRPr="00127752">
        <w:rPr>
          <w:rFonts w:ascii="Garamond" w:hAnsi="Garamond"/>
          <w:noProof/>
          <w:sz w:val="20"/>
        </w:rPr>
        <w:drawing>
          <wp:inline distT="0" distB="0" distL="0" distR="0">
            <wp:extent cx="3078480" cy="1447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8480" cy="144780"/>
                    </a:xfrm>
                    <a:prstGeom prst="rect">
                      <a:avLst/>
                    </a:prstGeom>
                    <a:noFill/>
                    <a:ln>
                      <a:noFill/>
                    </a:ln>
                  </pic:spPr>
                </pic:pic>
              </a:graphicData>
            </a:graphic>
          </wp:inline>
        </w:drawing>
      </w:r>
    </w:p>
    <w:p w:rsidR="00637D84" w:rsidRDefault="00637D84">
      <w:pPr>
        <w:pStyle w:val="Header"/>
        <w:rPr>
          <w:rFonts w:ascii="Garamond" w:hAnsi="Garamond"/>
          <w:sz w:val="20"/>
        </w:rPr>
      </w:pPr>
      <w:r>
        <w:rPr>
          <w:rFonts w:ascii="Garamond" w:hAnsi="Garamond"/>
          <w:sz w:val="22"/>
        </w:rPr>
        <w:t xml:space="preserve"> </w:t>
      </w:r>
    </w:p>
    <w:p w:rsidR="00637D84" w:rsidRDefault="00637D84">
      <w:pPr>
        <w:pStyle w:val="JIEreferencelist"/>
        <w:ind w:left="0" w:firstLine="0"/>
      </w:pPr>
    </w:p>
    <w:p w:rsidR="00E72813" w:rsidRDefault="00E72813">
      <w:pPr>
        <w:rPr>
          <w:rFonts w:ascii="Arial" w:eastAsiaTheme="majorEastAsia" w:hAnsi="Arial" w:cstheme="majorBidi"/>
          <w:color w:val="2F5496" w:themeColor="accent5" w:themeShade="BF"/>
          <w:sz w:val="28"/>
          <w:szCs w:val="32"/>
        </w:rPr>
      </w:pPr>
      <w:bookmarkStart w:id="1" w:name="_Ref60666568"/>
      <w:r>
        <w:rPr>
          <w:rFonts w:ascii="Arial" w:eastAsiaTheme="majorEastAsia" w:hAnsi="Arial" w:cstheme="majorBidi"/>
          <w:color w:val="2F5496" w:themeColor="accent5" w:themeShade="BF"/>
          <w:sz w:val="28"/>
          <w:szCs w:val="32"/>
        </w:rPr>
        <w:br w:type="page"/>
      </w:r>
    </w:p>
    <w:p w:rsidR="00A74481" w:rsidRPr="00E72813" w:rsidRDefault="00A74481" w:rsidP="00E72813">
      <w:pPr>
        <w:pStyle w:val="Heading1"/>
      </w:pPr>
      <w:r w:rsidRPr="00E72813">
        <w:lastRenderedPageBreak/>
        <w:t>Appendix A: Linny-R</w:t>
      </w:r>
      <w:bookmarkEnd w:id="1"/>
      <w:r w:rsidRPr="00E72813">
        <w:t xml:space="preserve"> and industrial symbiosis modeling</w:t>
      </w:r>
    </w:p>
    <w:p w:rsidR="00A74481" w:rsidRPr="007A3E32" w:rsidRDefault="00A74481" w:rsidP="00E72813">
      <w:pPr>
        <w:spacing w:line="360" w:lineRule="auto"/>
        <w:jc w:val="both"/>
      </w:pPr>
      <w:r w:rsidRPr="007A3E32">
        <w:t xml:space="preserve">The challenge of required technical and economic details for system-level analysis of industrial plants led to the development </w:t>
      </w:r>
      <w:r>
        <w:t xml:space="preserve">of </w:t>
      </w:r>
      <w:r w:rsidRPr="007A3E32">
        <w:t xml:space="preserve">Linny-R software. Process modeling tools </w:t>
      </w:r>
      <w:r>
        <w:t>cannot</w:t>
      </w:r>
      <w:r w:rsidRPr="007A3E32">
        <w:t xml:space="preserve"> take into account the non-technical variables in actors</w:t>
      </w:r>
      <w:r>
        <w:t>’</w:t>
      </w:r>
      <w:r w:rsidRPr="007A3E32">
        <w:t xml:space="preserve"> decision-making, and Agent-based models are incapable of finding an optimal operating condition of the system. Linny-R is a diagram-based modeling tool for analy</w:t>
      </w:r>
      <w:r>
        <w:t>z</w:t>
      </w:r>
      <w:r w:rsidRPr="007A3E32">
        <w:t>ing and optimi</w:t>
      </w:r>
      <w:r>
        <w:t>z</w:t>
      </w:r>
      <w:r w:rsidRPr="007A3E32">
        <w:t>ing the performance of systems composed of multiple processes and their input/output products</w:t>
      </w:r>
      <w:r>
        <w:t xml:space="preserve">, </w:t>
      </w:r>
      <w:r w:rsidRPr="007A3E32">
        <w:t xml:space="preserve">developed by Pieter Bots at Delft University of Technology </w:t>
      </w:r>
      <w:r w:rsidRPr="007A3E32">
        <w:fldChar w:fldCharType="begin" w:fldLock="1"/>
      </w:r>
      <w:r w:rsidRPr="007A3E32">
        <w:instrText>ADDIN CSL_CITATION {"citationItems":[{"id":"ITEM-1","itemData":{"URL":"https://mod-est.tbm.tudelft.nl/linny-r.html","accessed":{"date-parts":[["2020","11","5"]]},"author":[{"dropping-particle":"","family":"Bots","given":"Pieter","non-dropping-particle":"","parse-names":false,"suffix":""}],"id":"ITEM-1","issued":{"date-parts":[["2021"]]},"title":"Linny-R","type":"webpage"},"uris":["http://www.mendeley.com/documents/?uuid=97c99bd7-e9e5-3ec9-9820-685d0313d791"]}],"mendeley":{"formattedCitation":"(Bots, 2021)","plainTextFormattedCitation":"(Bots, 2021)","previouslyFormattedCitation":"(Bots, 2021)"},"properties":{"noteIndex":0},"schema":"https://github.com/citation-style-language/schema/raw/master/csl-citation.json"}</w:instrText>
      </w:r>
      <w:r w:rsidRPr="007A3E32">
        <w:fldChar w:fldCharType="separate"/>
      </w:r>
      <w:r w:rsidRPr="007A3E32">
        <w:rPr>
          <w:noProof/>
        </w:rPr>
        <w:t>(Bots, 2021)</w:t>
      </w:r>
      <w:r w:rsidRPr="007A3E32">
        <w:fldChar w:fldCharType="end"/>
      </w:r>
      <w:r w:rsidRPr="007A3E32">
        <w:t xml:space="preserve"> to solve MILP problems that incorporate physical and non-physical variables. In Linny-R, physical (e.g., material and energy) and data (e.g., information and monetary) flows are modeled as products</w:t>
      </w:r>
      <w:r>
        <w:t>. A</w:t>
      </w:r>
      <w:r w:rsidRPr="007A3E32">
        <w:t>ny activity with inflows and outflows is modeled as a process. Activities such as selling, buying, and contracting, which are crucial in IS collaborations, are regarded as processes. In the model, an activity receives input (physical and data flow) to generate outputs. Note that operating and investment costs associated with each activity are implemented in the model as data flows.</w:t>
      </w:r>
    </w:p>
    <w:p w:rsidR="00A74481" w:rsidRDefault="00A74481" w:rsidP="00E72813">
      <w:pPr>
        <w:spacing w:line="360" w:lineRule="auto"/>
        <w:jc w:val="both"/>
        <w:rPr>
          <w:vertAlign w:val="subscript"/>
        </w:rPr>
      </w:pPr>
      <w:r w:rsidRPr="007A3E32">
        <w:t>Linny-R visuali</w:t>
      </w:r>
      <w:r>
        <w:t>z</w:t>
      </w:r>
      <w:r w:rsidRPr="007A3E32">
        <w:t>es all processes and products in network format. A company can then be modeled as a cluster of processes owned by the same actor. The whole system is referred to as the industrial cluster to avoid confusion. Linny-R maximi</w:t>
      </w:r>
      <w:r>
        <w:t>z</w:t>
      </w:r>
      <w:r w:rsidRPr="007A3E32">
        <w:t>es profit or minimi</w:t>
      </w:r>
      <w:r>
        <w:t>z</w:t>
      </w:r>
      <w:r w:rsidRPr="007A3E32">
        <w:t>es the cost of the entire industrial cluster subject to system constraints. Linny-R assumes actors</w:t>
      </w:r>
      <w:r>
        <w:t>’</w:t>
      </w:r>
      <w:r w:rsidRPr="007A3E32">
        <w:t xml:space="preserve"> behavior </w:t>
      </w:r>
      <w:r>
        <w:t xml:space="preserve">is </w:t>
      </w:r>
      <w:r w:rsidRPr="007A3E32">
        <w:t xml:space="preserve">rational, not random. Actors make a decision based on their economic benefit considering the system constraints. The constraints (e.g., prices, taxes, and environmental pollution limits) can be defined as the lower bounds, upper bounds, production and consumption rates, and prices. It is possible to apply temporal changes in input data in the form of time series, data sets, or function of other model parameters, then investigate the </w:t>
      </w:r>
      <w:r>
        <w:t>output variation</w:t>
      </w:r>
      <w:r w:rsidRPr="007A3E32">
        <w:t>s over time. However, optimi</w:t>
      </w:r>
      <w:r>
        <w:t>z</w:t>
      </w:r>
      <w:r w:rsidRPr="007A3E32">
        <w:t>ing the industrial cluster</w:t>
      </w:r>
      <w:r>
        <w:t>’</w:t>
      </w:r>
      <w:r w:rsidRPr="007A3E32">
        <w:t>s operation in Linny-R has limitations. Linny-R does not check the material and energy balance. The predecessor to cluster modeling in Linny-R is the technical and institutional study of the cluster. Decision variables in the optimi</w:t>
      </w:r>
      <w:r>
        <w:t>z</w:t>
      </w:r>
      <w:r w:rsidRPr="007A3E32">
        <w:t xml:space="preserve">ation procedure are the production levels of processes in each time step. Prices, capacities, and production and consumption rates are exogenous variables. Thus, their values and temporal changes have to be determined </w:t>
      </w:r>
      <w:r w:rsidRPr="007A3E32">
        <w:lastRenderedPageBreak/>
        <w:t>outside the model</w:t>
      </w:r>
      <w:r>
        <w:t>,</w:t>
      </w:r>
      <w:r w:rsidRPr="007A3E32">
        <w:t xml:space="preserve"> and the solver does not calculate such parameters in each time step by itself. </w:t>
      </w:r>
    </w:p>
    <w:p w:rsidR="00E72813" w:rsidRPr="007A3E32" w:rsidRDefault="00E72813" w:rsidP="00E72813">
      <w:pPr>
        <w:spacing w:line="360" w:lineRule="auto"/>
        <w:jc w:val="both"/>
        <w:rPr>
          <w:vertAlign w:val="subscript"/>
        </w:rPr>
      </w:pPr>
    </w:p>
    <w:p w:rsidR="00A74481" w:rsidRPr="007A3E32" w:rsidRDefault="00A74481" w:rsidP="00E72813">
      <w:pPr>
        <w:pStyle w:val="Heading1"/>
      </w:pPr>
      <w:r w:rsidRPr="007A3E32">
        <w:t xml:space="preserve">Appendix B: model material and energy data </w:t>
      </w:r>
    </w:p>
    <w:p w:rsidR="00A74481" w:rsidRPr="007A3E32" w:rsidRDefault="00A74481" w:rsidP="00A74481">
      <w:pPr>
        <w:keepNext/>
        <w:spacing w:before="240"/>
        <w:rPr>
          <w:i/>
          <w:iCs/>
          <w:color w:val="44546A" w:themeColor="text2"/>
          <w:sz w:val="18"/>
          <w:szCs w:val="18"/>
        </w:rPr>
      </w:pPr>
      <w:r w:rsidRPr="007A3E32">
        <w:rPr>
          <w:i/>
          <w:iCs/>
          <w:color w:val="44546A" w:themeColor="text2"/>
          <w:sz w:val="18"/>
          <w:szCs w:val="18"/>
        </w:rPr>
        <w:t>Table B</w:t>
      </w:r>
      <w:r w:rsidRPr="007A3E32">
        <w:rPr>
          <w:i/>
          <w:iCs/>
          <w:color w:val="44546A" w:themeColor="text2"/>
          <w:sz w:val="18"/>
          <w:szCs w:val="18"/>
        </w:rPr>
        <w:fldChar w:fldCharType="begin"/>
      </w:r>
      <w:r w:rsidRPr="007A3E32">
        <w:rPr>
          <w:i/>
          <w:iCs/>
          <w:color w:val="44546A" w:themeColor="text2"/>
          <w:sz w:val="18"/>
          <w:szCs w:val="18"/>
        </w:rPr>
        <w:instrText xml:space="preserve"> SEQ Table_B \* ARABIC </w:instrText>
      </w:r>
      <w:r w:rsidRPr="007A3E32">
        <w:rPr>
          <w:i/>
          <w:iCs/>
          <w:color w:val="44546A" w:themeColor="text2"/>
          <w:sz w:val="18"/>
          <w:szCs w:val="18"/>
        </w:rPr>
        <w:fldChar w:fldCharType="separate"/>
      </w:r>
      <w:r>
        <w:rPr>
          <w:i/>
          <w:iCs/>
          <w:noProof/>
          <w:color w:val="44546A" w:themeColor="text2"/>
          <w:sz w:val="18"/>
          <w:szCs w:val="18"/>
        </w:rPr>
        <w:t>1</w:t>
      </w:r>
      <w:r w:rsidRPr="007A3E32">
        <w:rPr>
          <w:i/>
          <w:iCs/>
          <w:color w:val="44546A" w:themeColor="text2"/>
          <w:sz w:val="18"/>
          <w:szCs w:val="18"/>
        </w:rPr>
        <w:fldChar w:fldCharType="end"/>
      </w:r>
      <w:r w:rsidRPr="007A3E32">
        <w:rPr>
          <w:i/>
          <w:iCs/>
          <w:color w:val="44546A" w:themeColor="text2"/>
          <w:sz w:val="18"/>
          <w:szCs w:val="18"/>
        </w:rPr>
        <w:t xml:space="preserve"> Material and energy consumption and generation rates in different processes in PGSEZ (Noori et al., 2021)</w:t>
      </w:r>
    </w:p>
    <w:tbl>
      <w:tblPr>
        <w:tblStyle w:val="PlainTable21"/>
        <w:tblW w:w="7558" w:type="dxa"/>
        <w:tblLayout w:type="fixed"/>
        <w:tblLook w:val="0620" w:firstRow="1" w:lastRow="0" w:firstColumn="0" w:lastColumn="0" w:noHBand="1" w:noVBand="1"/>
      </w:tblPr>
      <w:tblGrid>
        <w:gridCol w:w="900"/>
        <w:gridCol w:w="810"/>
        <w:gridCol w:w="2647"/>
        <w:gridCol w:w="1150"/>
        <w:gridCol w:w="2051"/>
      </w:tblGrid>
      <w:tr w:rsidR="00A74481" w:rsidRPr="00E72813" w:rsidTr="000414CA">
        <w:trPr>
          <w:cnfStyle w:val="100000000000" w:firstRow="1" w:lastRow="0" w:firstColumn="0" w:lastColumn="0" w:oddVBand="0" w:evenVBand="0" w:oddHBand="0" w:evenHBand="0" w:firstRowFirstColumn="0" w:firstRowLastColumn="0" w:lastRowFirstColumn="0" w:lastRowLastColumn="0"/>
          <w:cantSplit/>
          <w:tblHeader/>
        </w:trPr>
        <w:tc>
          <w:tcPr>
            <w:tcW w:w="900" w:type="dxa"/>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Actor</w:t>
            </w:r>
          </w:p>
        </w:tc>
        <w:tc>
          <w:tcPr>
            <w:tcW w:w="810" w:type="dxa"/>
            <w:vAlign w:val="center"/>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Plant</w:t>
            </w:r>
          </w:p>
        </w:tc>
        <w:tc>
          <w:tcPr>
            <w:tcW w:w="2647" w:type="dxa"/>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Product</w:t>
            </w:r>
          </w:p>
        </w:tc>
        <w:tc>
          <w:tcPr>
            <w:tcW w:w="1150" w:type="dxa"/>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flow rate</w:t>
            </w:r>
          </w:p>
        </w:tc>
        <w:tc>
          <w:tcPr>
            <w:tcW w:w="2051" w:type="dxa"/>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Unit</w:t>
            </w:r>
          </w:p>
        </w:tc>
      </w:tr>
      <w:tr w:rsidR="00A74481" w:rsidRPr="00E72813" w:rsidTr="000414CA">
        <w:trPr>
          <w:cantSplit/>
        </w:trPr>
        <w:tc>
          <w:tcPr>
            <w:tcW w:w="900" w:type="dxa"/>
            <w:vMerge w:val="restart"/>
            <w:tcBorders>
              <w:top w:val="single" w:sz="4" w:space="0" w:color="7F7F7F" w:themeColor="text1" w:themeTint="80"/>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SKS</w:t>
            </w:r>
          </w:p>
        </w:tc>
        <w:tc>
          <w:tcPr>
            <w:tcW w:w="810" w:type="dxa"/>
            <w:vMerge w:val="restart"/>
            <w:tcBorders>
              <w:top w:val="single" w:sz="4" w:space="0" w:color="7F7F7F" w:themeColor="text1" w:themeTint="80"/>
              <w:bottom w:val="nil"/>
            </w:tcBorders>
            <w:vAlign w:val="center"/>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P1</w:t>
            </w:r>
          </w:p>
        </w:tc>
        <w:tc>
          <w:tcPr>
            <w:tcW w:w="2647" w:type="dxa"/>
            <w:tcBorders>
              <w:top w:val="single" w:sz="4" w:space="0" w:color="7F7F7F" w:themeColor="text1" w:themeTint="80"/>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Pellet</w:t>
            </w:r>
          </w:p>
        </w:tc>
        <w:tc>
          <w:tcPr>
            <w:tcW w:w="1150" w:type="dxa"/>
            <w:tcBorders>
              <w:top w:val="single" w:sz="4" w:space="0" w:color="7F7F7F" w:themeColor="text1" w:themeTint="80"/>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1.45</w:t>
            </w:r>
          </w:p>
        </w:tc>
        <w:tc>
          <w:tcPr>
            <w:tcW w:w="2051" w:type="dxa"/>
            <w:tcBorders>
              <w:top w:val="single" w:sz="4" w:space="0" w:color="7F7F7F" w:themeColor="text1" w:themeTint="80"/>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DRI</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1.00</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Sludge </w:t>
            </w:r>
            <w:r w:rsidRPr="0006686F">
              <w:rPr>
                <w:rFonts w:asciiTheme="majorBidi" w:hAnsiTheme="majorBidi" w:cstheme="majorBidi"/>
                <w:sz w:val="22"/>
                <w:vertAlign w:val="subscript"/>
              </w:rPr>
              <w:t>DRI</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0.05</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Dust </w:t>
            </w:r>
            <w:r w:rsidRPr="0006686F">
              <w:rPr>
                <w:rFonts w:asciiTheme="majorBidi" w:hAnsiTheme="majorBidi" w:cstheme="majorBidi"/>
                <w:sz w:val="22"/>
                <w:vertAlign w:val="subscript"/>
              </w:rPr>
              <w:t>DRI</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0.06</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EL </w:t>
            </w:r>
            <w:r w:rsidRPr="0006686F">
              <w:rPr>
                <w:rFonts w:asciiTheme="majorBidi" w:hAnsiTheme="majorBidi" w:cstheme="majorBidi"/>
                <w:sz w:val="22"/>
                <w:vertAlign w:val="subscript"/>
              </w:rPr>
              <w:t>input</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0.47</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Natural Gas Feedstock</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0.20</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Natural Gas</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1.58</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Waste Heat </w:t>
            </w:r>
            <w:r w:rsidRPr="0006686F">
              <w:rPr>
                <w:rFonts w:asciiTheme="majorBidi" w:hAnsiTheme="majorBidi" w:cstheme="majorBidi"/>
                <w:sz w:val="22"/>
                <w:vertAlign w:val="subscript"/>
              </w:rPr>
              <w:t>P1</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0.71</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Industrial Water</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1.00</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Nm</w:t>
            </w:r>
            <w:r w:rsidRPr="0006686F">
              <w:rPr>
                <w:rFonts w:asciiTheme="majorBidi" w:hAnsiTheme="majorBidi" w:cstheme="majorBidi"/>
                <w:sz w:val="22"/>
                <w:vertAlign w:val="superscript"/>
              </w:rPr>
              <w:t>3</w:t>
            </w:r>
            <w:r w:rsidRPr="0006686F">
              <w:rPr>
                <w:rFonts w:asciiTheme="majorBidi" w:hAnsiTheme="majorBidi" w:cstheme="majorBidi"/>
                <w:sz w:val="22"/>
              </w:rPr>
              <w:t>/</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Waste Water</w:t>
            </w:r>
          </w:p>
        </w:tc>
        <w:tc>
          <w:tcPr>
            <w:tcW w:w="1150" w:type="dxa"/>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0.40</w:t>
            </w:r>
          </w:p>
        </w:tc>
        <w:tc>
          <w:tcPr>
            <w:tcW w:w="2051"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Nm</w:t>
            </w:r>
            <w:r w:rsidRPr="0006686F">
              <w:rPr>
                <w:rFonts w:asciiTheme="majorBidi" w:hAnsiTheme="majorBidi" w:cstheme="majorBidi"/>
                <w:sz w:val="22"/>
                <w:vertAlign w:val="superscript"/>
              </w:rPr>
              <w:t>3</w:t>
            </w:r>
            <w:r w:rsidRPr="0006686F">
              <w:rPr>
                <w:rFonts w:asciiTheme="majorBidi" w:hAnsiTheme="majorBidi" w:cstheme="majorBidi"/>
                <w:sz w:val="22"/>
              </w:rPr>
              <w:t>/</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val="restart"/>
            <w:tcBorders>
              <w:top w:val="single" w:sz="4" w:space="0" w:color="auto"/>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HOS</w:t>
            </w:r>
          </w:p>
        </w:tc>
        <w:tc>
          <w:tcPr>
            <w:tcW w:w="810" w:type="dxa"/>
            <w:vMerge w:val="restart"/>
            <w:tcBorders>
              <w:top w:val="single" w:sz="4" w:space="0" w:color="auto"/>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P3</w:t>
            </w:r>
          </w:p>
        </w:tc>
        <w:tc>
          <w:tcPr>
            <w:tcW w:w="2647" w:type="dxa"/>
            <w:tcBorders>
              <w:top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Pellet</w:t>
            </w:r>
          </w:p>
        </w:tc>
        <w:tc>
          <w:tcPr>
            <w:tcW w:w="1150" w:type="dxa"/>
            <w:tcBorders>
              <w:top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1.45</w:t>
            </w:r>
          </w:p>
        </w:tc>
        <w:tc>
          <w:tcPr>
            <w:tcW w:w="2051" w:type="dxa"/>
            <w:tcBorders>
              <w:top w:val="single" w:sz="4" w:space="0" w:color="auto"/>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DRI</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1.00</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Sludge </w:t>
            </w:r>
            <w:r w:rsidRPr="0006686F">
              <w:rPr>
                <w:rFonts w:asciiTheme="majorBidi" w:hAnsiTheme="majorBidi" w:cstheme="majorBidi"/>
                <w:sz w:val="22"/>
                <w:vertAlign w:val="subscript"/>
              </w:rPr>
              <w:t>DRI</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0.06</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Dust </w:t>
            </w:r>
            <w:r w:rsidRPr="0006686F">
              <w:rPr>
                <w:rFonts w:asciiTheme="majorBidi" w:hAnsiTheme="majorBidi" w:cstheme="majorBidi"/>
                <w:sz w:val="22"/>
                <w:vertAlign w:val="subscript"/>
              </w:rPr>
              <w:t>DRI</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0.03</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EL </w:t>
            </w:r>
            <w:r w:rsidRPr="0006686F">
              <w:rPr>
                <w:rFonts w:asciiTheme="majorBidi" w:hAnsiTheme="majorBidi" w:cstheme="majorBidi"/>
                <w:sz w:val="22"/>
                <w:vertAlign w:val="subscript"/>
              </w:rPr>
              <w:t>input</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0.42</w:t>
            </w:r>
          </w:p>
        </w:tc>
        <w:tc>
          <w:tcPr>
            <w:tcW w:w="2051"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Natural Gas Feedstock</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0.20</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Natural Gas</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1.58</w:t>
            </w:r>
          </w:p>
        </w:tc>
        <w:tc>
          <w:tcPr>
            <w:tcW w:w="2051"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Waste Heat </w:t>
            </w:r>
            <w:r w:rsidRPr="0006686F">
              <w:rPr>
                <w:rFonts w:asciiTheme="majorBidi" w:hAnsiTheme="majorBidi" w:cstheme="majorBidi"/>
                <w:sz w:val="22"/>
                <w:vertAlign w:val="subscript"/>
              </w:rPr>
              <w:t>P3</w:t>
            </w:r>
          </w:p>
        </w:tc>
        <w:tc>
          <w:tcPr>
            <w:tcW w:w="1150" w:type="dxa"/>
            <w:tcBorders>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0.75</w:t>
            </w:r>
          </w:p>
        </w:tc>
        <w:tc>
          <w:tcPr>
            <w:tcW w:w="2051" w:type="dxa"/>
            <w:tcBorders>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Industrial Water</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1.02</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Nm</w:t>
            </w:r>
            <w:r w:rsidRPr="0006686F">
              <w:rPr>
                <w:rFonts w:asciiTheme="majorBidi" w:hAnsiTheme="majorBidi" w:cstheme="majorBidi"/>
                <w:sz w:val="22"/>
                <w:vertAlign w:val="superscript"/>
              </w:rPr>
              <w:t>3</w:t>
            </w:r>
            <w:r w:rsidRPr="0006686F">
              <w:rPr>
                <w:rFonts w:asciiTheme="majorBidi" w:hAnsiTheme="majorBidi" w:cstheme="majorBidi"/>
                <w:sz w:val="22"/>
              </w:rPr>
              <w:t>/</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Waste Water</w:t>
            </w:r>
          </w:p>
        </w:tc>
        <w:tc>
          <w:tcPr>
            <w:tcW w:w="1150" w:type="dxa"/>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0.30</w:t>
            </w:r>
          </w:p>
        </w:tc>
        <w:tc>
          <w:tcPr>
            <w:tcW w:w="2051"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Nm</w:t>
            </w:r>
            <w:r w:rsidRPr="0006686F">
              <w:rPr>
                <w:rFonts w:asciiTheme="majorBidi" w:hAnsiTheme="majorBidi" w:cstheme="majorBidi"/>
                <w:sz w:val="22"/>
                <w:vertAlign w:val="superscript"/>
              </w:rPr>
              <w:t>3</w:t>
            </w:r>
            <w:r w:rsidRPr="0006686F">
              <w:rPr>
                <w:rFonts w:asciiTheme="majorBidi" w:hAnsiTheme="majorBidi" w:cstheme="majorBidi"/>
                <w:sz w:val="22"/>
              </w:rPr>
              <w:t>/</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val="restart"/>
            <w:tcBorders>
              <w:top w:val="single" w:sz="4" w:space="0" w:color="auto"/>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SAB</w:t>
            </w:r>
          </w:p>
        </w:tc>
        <w:tc>
          <w:tcPr>
            <w:tcW w:w="810" w:type="dxa"/>
            <w:vMerge w:val="restart"/>
            <w:tcBorders>
              <w:top w:val="single" w:sz="4" w:space="0" w:color="auto"/>
              <w:bottom w:val="nil"/>
            </w:tcBorders>
            <w:vAlign w:val="center"/>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P7</w:t>
            </w:r>
          </w:p>
        </w:tc>
        <w:tc>
          <w:tcPr>
            <w:tcW w:w="2647" w:type="dxa"/>
            <w:tcBorders>
              <w:top w:val="single" w:sz="4" w:space="0" w:color="auto"/>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Pellet</w:t>
            </w:r>
          </w:p>
        </w:tc>
        <w:tc>
          <w:tcPr>
            <w:tcW w:w="1150" w:type="dxa"/>
            <w:tcBorders>
              <w:top w:val="single" w:sz="4" w:space="0" w:color="auto"/>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1.37</w:t>
            </w:r>
          </w:p>
        </w:tc>
        <w:tc>
          <w:tcPr>
            <w:tcW w:w="2051" w:type="dxa"/>
            <w:tcBorders>
              <w:top w:val="single" w:sz="4" w:space="0" w:color="auto"/>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HBI</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1.00</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Sludge </w:t>
            </w:r>
            <w:r w:rsidRPr="0006686F">
              <w:rPr>
                <w:rFonts w:asciiTheme="majorBidi" w:hAnsiTheme="majorBidi" w:cstheme="majorBidi"/>
                <w:sz w:val="22"/>
                <w:vertAlign w:val="subscript"/>
              </w:rPr>
              <w:t>DRI</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0.02</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Dust</w:t>
            </w:r>
            <w:r w:rsidRPr="0006686F">
              <w:rPr>
                <w:rFonts w:asciiTheme="majorBidi" w:hAnsiTheme="majorBidi" w:cstheme="majorBidi"/>
                <w:sz w:val="22"/>
                <w:vertAlign w:val="subscript"/>
              </w:rPr>
              <w:t xml:space="preserve"> DRI</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0.02</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EL </w:t>
            </w:r>
            <w:r w:rsidRPr="0006686F">
              <w:rPr>
                <w:rFonts w:asciiTheme="majorBidi" w:hAnsiTheme="majorBidi" w:cstheme="majorBidi"/>
                <w:sz w:val="22"/>
                <w:vertAlign w:val="subscript"/>
              </w:rPr>
              <w:t>input</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0.50</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Natural Gas Feedstock</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0.19</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Natural Gas</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1.49</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Waste Heat </w:t>
            </w:r>
            <w:r w:rsidRPr="0006686F">
              <w:rPr>
                <w:rFonts w:asciiTheme="majorBidi" w:hAnsiTheme="majorBidi" w:cstheme="majorBidi"/>
                <w:sz w:val="22"/>
                <w:vertAlign w:val="subscript"/>
              </w:rPr>
              <w:t>P7</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0.72</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Industrial Water</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1.72</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Nm</w:t>
            </w:r>
            <w:r w:rsidRPr="0006686F">
              <w:rPr>
                <w:rFonts w:asciiTheme="majorBidi" w:hAnsiTheme="majorBidi" w:cstheme="majorBidi"/>
                <w:sz w:val="22"/>
                <w:vertAlign w:val="superscript"/>
              </w:rPr>
              <w:t>3</w:t>
            </w:r>
            <w:r w:rsidRPr="0006686F">
              <w:rPr>
                <w:rFonts w:asciiTheme="majorBidi" w:hAnsiTheme="majorBidi" w:cstheme="majorBidi"/>
                <w:sz w:val="22"/>
              </w:rPr>
              <w:t>/</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Waste Water</w:t>
            </w:r>
          </w:p>
        </w:tc>
        <w:tc>
          <w:tcPr>
            <w:tcW w:w="1150" w:type="dxa"/>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0.69</w:t>
            </w:r>
          </w:p>
        </w:tc>
        <w:tc>
          <w:tcPr>
            <w:tcW w:w="2051"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Nm</w:t>
            </w:r>
            <w:r w:rsidRPr="0006686F">
              <w:rPr>
                <w:rFonts w:asciiTheme="majorBidi" w:hAnsiTheme="majorBidi" w:cstheme="majorBidi"/>
                <w:sz w:val="22"/>
                <w:vertAlign w:val="superscript"/>
              </w:rPr>
              <w:t>3</w:t>
            </w:r>
            <w:r w:rsidRPr="0006686F">
              <w:rPr>
                <w:rFonts w:asciiTheme="majorBidi" w:hAnsiTheme="majorBidi" w:cstheme="majorBidi"/>
                <w:sz w:val="22"/>
              </w:rPr>
              <w:t>/</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val="restart"/>
            <w:tcBorders>
              <w:top w:val="single" w:sz="4" w:space="0" w:color="auto"/>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SKS</w:t>
            </w:r>
          </w:p>
        </w:tc>
        <w:tc>
          <w:tcPr>
            <w:tcW w:w="810" w:type="dxa"/>
            <w:vMerge w:val="restart"/>
            <w:tcBorders>
              <w:top w:val="single" w:sz="4" w:space="0" w:color="auto"/>
              <w:bottom w:val="nil"/>
            </w:tcBorders>
            <w:vAlign w:val="center"/>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P2</w:t>
            </w:r>
          </w:p>
        </w:tc>
        <w:tc>
          <w:tcPr>
            <w:tcW w:w="2647" w:type="dxa"/>
            <w:tcBorders>
              <w:top w:val="single" w:sz="4" w:space="0" w:color="auto"/>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Scrap</w:t>
            </w:r>
          </w:p>
        </w:tc>
        <w:tc>
          <w:tcPr>
            <w:tcW w:w="1150" w:type="dxa"/>
            <w:tcBorders>
              <w:top w:val="single" w:sz="4" w:space="0" w:color="auto"/>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0.02</w:t>
            </w:r>
          </w:p>
        </w:tc>
        <w:tc>
          <w:tcPr>
            <w:tcW w:w="2051" w:type="dxa"/>
            <w:tcBorders>
              <w:top w:val="single" w:sz="4" w:space="0" w:color="auto"/>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DRI</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1.26</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Lime</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0.07</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Ferroalloys</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0.03</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Coke</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0.49</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Billet</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1.00</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Slag</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0.26</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Dust </w:t>
            </w:r>
            <w:r w:rsidRPr="0006686F">
              <w:rPr>
                <w:rFonts w:asciiTheme="majorBidi" w:hAnsiTheme="majorBidi" w:cstheme="majorBidi"/>
                <w:sz w:val="22"/>
                <w:vertAlign w:val="subscript"/>
              </w:rPr>
              <w:t>SMP</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0.01</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Sludge </w:t>
            </w:r>
            <w:r w:rsidRPr="0006686F">
              <w:rPr>
                <w:rFonts w:asciiTheme="majorBidi" w:hAnsiTheme="majorBidi" w:cstheme="majorBidi"/>
                <w:sz w:val="22"/>
                <w:vertAlign w:val="subscript"/>
              </w:rPr>
              <w:t>SMP</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0.05</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CCM Loss</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0.02</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EL </w:t>
            </w:r>
            <w:r w:rsidRPr="0006686F">
              <w:rPr>
                <w:rFonts w:asciiTheme="majorBidi" w:hAnsiTheme="majorBidi" w:cstheme="majorBidi"/>
                <w:sz w:val="22"/>
                <w:vertAlign w:val="subscript"/>
              </w:rPr>
              <w:t>input</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2.70</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Natural Gas</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0.18</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 /</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Waste Heat </w:t>
            </w:r>
            <w:r w:rsidRPr="0006686F">
              <w:rPr>
                <w:rFonts w:asciiTheme="majorBidi" w:hAnsiTheme="majorBidi" w:cstheme="majorBidi"/>
                <w:sz w:val="22"/>
                <w:vertAlign w:val="subscript"/>
              </w:rPr>
              <w:t>P2</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0.47</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Industrial Water</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1.12</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Nm</w:t>
            </w:r>
            <w:r w:rsidRPr="0006686F">
              <w:rPr>
                <w:rFonts w:asciiTheme="majorBidi" w:hAnsiTheme="majorBidi" w:cstheme="majorBidi"/>
                <w:sz w:val="22"/>
                <w:vertAlign w:val="superscript"/>
              </w:rPr>
              <w:t>3</w:t>
            </w:r>
            <w:r w:rsidRPr="0006686F">
              <w:rPr>
                <w:rFonts w:asciiTheme="majorBidi" w:hAnsiTheme="majorBidi" w:cstheme="majorBidi"/>
                <w:sz w:val="22"/>
              </w:rPr>
              <w:t>/</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Waste Water</w:t>
            </w:r>
          </w:p>
        </w:tc>
        <w:tc>
          <w:tcPr>
            <w:tcW w:w="1150" w:type="dxa"/>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0.53</w:t>
            </w:r>
          </w:p>
        </w:tc>
        <w:tc>
          <w:tcPr>
            <w:tcW w:w="2051"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Nm</w:t>
            </w:r>
            <w:r w:rsidRPr="0006686F">
              <w:rPr>
                <w:rFonts w:asciiTheme="majorBidi" w:hAnsiTheme="majorBidi" w:cstheme="majorBidi"/>
                <w:sz w:val="22"/>
                <w:vertAlign w:val="superscript"/>
              </w:rPr>
              <w:t>3</w:t>
            </w:r>
            <w:r w:rsidRPr="0006686F">
              <w:rPr>
                <w:rFonts w:asciiTheme="majorBidi" w:hAnsiTheme="majorBidi" w:cstheme="majorBidi"/>
                <w:sz w:val="22"/>
              </w:rPr>
              <w:t>/</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val="restart"/>
            <w:tcBorders>
              <w:top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HOS</w:t>
            </w:r>
          </w:p>
        </w:tc>
        <w:tc>
          <w:tcPr>
            <w:tcW w:w="810" w:type="dxa"/>
            <w:vMerge w:val="restart"/>
            <w:tcBorders>
              <w:top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P4</w:t>
            </w:r>
          </w:p>
        </w:tc>
        <w:tc>
          <w:tcPr>
            <w:tcW w:w="2647" w:type="dxa"/>
            <w:tcBorders>
              <w:top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Scrap</w:t>
            </w:r>
          </w:p>
        </w:tc>
        <w:tc>
          <w:tcPr>
            <w:tcW w:w="1150" w:type="dxa"/>
            <w:tcBorders>
              <w:top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0.03</w:t>
            </w:r>
          </w:p>
        </w:tc>
        <w:tc>
          <w:tcPr>
            <w:tcW w:w="2051" w:type="dxa"/>
            <w:tcBorders>
              <w:top w:val="single" w:sz="4" w:space="0" w:color="auto"/>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DRI</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1.23</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Lime</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0.06</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Ferroalloys</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0.05</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Coke</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0.20</w:t>
            </w:r>
          </w:p>
        </w:tc>
        <w:tc>
          <w:tcPr>
            <w:tcW w:w="2051"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 /</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Slab</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1.00</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Slag</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0.26</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Dust </w:t>
            </w:r>
            <w:r w:rsidRPr="0006686F">
              <w:rPr>
                <w:rFonts w:asciiTheme="majorBidi" w:hAnsiTheme="majorBidi" w:cstheme="majorBidi"/>
                <w:sz w:val="22"/>
                <w:vertAlign w:val="subscript"/>
              </w:rPr>
              <w:t>SMP</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0.01</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Sludge </w:t>
            </w:r>
            <w:r w:rsidRPr="0006686F">
              <w:rPr>
                <w:rFonts w:asciiTheme="majorBidi" w:hAnsiTheme="majorBidi" w:cstheme="majorBidi"/>
                <w:sz w:val="22"/>
                <w:vertAlign w:val="subscript"/>
              </w:rPr>
              <w:t>SMP</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0.08</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CCM Loss</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0.02</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EL </w:t>
            </w:r>
            <w:r w:rsidRPr="0006686F">
              <w:rPr>
                <w:rFonts w:asciiTheme="majorBidi" w:hAnsiTheme="majorBidi" w:cstheme="majorBidi"/>
                <w:sz w:val="22"/>
                <w:vertAlign w:val="subscript"/>
              </w:rPr>
              <w:t>input</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2.76</w:t>
            </w:r>
          </w:p>
        </w:tc>
        <w:tc>
          <w:tcPr>
            <w:tcW w:w="2051"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 /</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Natural Gas</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0.11</w:t>
            </w:r>
          </w:p>
        </w:tc>
        <w:tc>
          <w:tcPr>
            <w:tcW w:w="2051"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 /</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Waste Heat </w:t>
            </w:r>
            <w:r w:rsidRPr="0006686F">
              <w:rPr>
                <w:rFonts w:asciiTheme="majorBidi" w:hAnsiTheme="majorBidi" w:cstheme="majorBidi"/>
                <w:sz w:val="22"/>
                <w:vertAlign w:val="subscript"/>
              </w:rPr>
              <w:t>P4</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0.34</w:t>
            </w:r>
          </w:p>
        </w:tc>
        <w:tc>
          <w:tcPr>
            <w:tcW w:w="2051"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 /</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Industrial Water</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0.93</w:t>
            </w:r>
          </w:p>
        </w:tc>
        <w:tc>
          <w:tcPr>
            <w:tcW w:w="2051"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Nm</w:t>
            </w:r>
            <w:r w:rsidRPr="0006686F">
              <w:rPr>
                <w:rFonts w:asciiTheme="majorBidi" w:hAnsiTheme="majorBidi" w:cstheme="majorBidi"/>
                <w:sz w:val="22"/>
                <w:vertAlign w:val="superscript"/>
              </w:rPr>
              <w:t>3</w:t>
            </w:r>
            <w:r w:rsidRPr="0006686F">
              <w:rPr>
                <w:rFonts w:asciiTheme="majorBidi" w:hAnsiTheme="majorBidi" w:cstheme="majorBidi"/>
                <w:sz w:val="22"/>
              </w:rPr>
              <w:t>/</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Waste Water</w:t>
            </w:r>
          </w:p>
        </w:tc>
        <w:tc>
          <w:tcPr>
            <w:tcW w:w="1150" w:type="dxa"/>
            <w:tcBorders>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0.53</w:t>
            </w:r>
          </w:p>
        </w:tc>
        <w:tc>
          <w:tcPr>
            <w:tcW w:w="2051" w:type="dxa"/>
            <w:tcBorders>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Nm</w:t>
            </w:r>
            <w:r w:rsidRPr="0006686F">
              <w:rPr>
                <w:rFonts w:asciiTheme="majorBidi" w:hAnsiTheme="majorBidi" w:cstheme="majorBidi"/>
                <w:sz w:val="22"/>
                <w:vertAlign w:val="superscript"/>
              </w:rPr>
              <w:t>3</w:t>
            </w:r>
            <w:r w:rsidRPr="0006686F">
              <w:rPr>
                <w:rFonts w:asciiTheme="majorBidi" w:hAnsiTheme="majorBidi" w:cstheme="majorBidi"/>
                <w:sz w:val="22"/>
              </w:rPr>
              <w:t>/</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val="restart"/>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lastRenderedPageBreak/>
              <w:t>AAC</w:t>
            </w:r>
          </w:p>
        </w:tc>
        <w:tc>
          <w:tcPr>
            <w:tcW w:w="810" w:type="dxa"/>
            <w:vMerge w:val="restart"/>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P8</w:t>
            </w: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Calcined Coke  (CPC)</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0.60</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Pitch (CTC)</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0.15</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Spent Anode</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0.25</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Anode</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1.00</w:t>
            </w:r>
          </w:p>
        </w:tc>
        <w:tc>
          <w:tcPr>
            <w:tcW w:w="2051" w:type="dxa"/>
            <w:tcBorders>
              <w:top w:val="nil"/>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Natural Gas</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2.45</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 /</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nil"/>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EL </w:t>
            </w:r>
            <w:r w:rsidRPr="0006686F">
              <w:rPr>
                <w:rFonts w:asciiTheme="majorBidi" w:hAnsiTheme="majorBidi" w:cstheme="majorBidi"/>
                <w:sz w:val="22"/>
                <w:vertAlign w:val="subscript"/>
              </w:rPr>
              <w:t>input</w:t>
            </w:r>
          </w:p>
        </w:tc>
        <w:tc>
          <w:tcPr>
            <w:tcW w:w="1150" w:type="dxa"/>
            <w:tcBorders>
              <w:top w:val="nil"/>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0.50</w:t>
            </w:r>
          </w:p>
        </w:tc>
        <w:tc>
          <w:tcPr>
            <w:tcW w:w="2051" w:type="dxa"/>
            <w:tcBorders>
              <w:top w:val="nil"/>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 /</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top w:val="nil"/>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Waste Heat </w:t>
            </w:r>
            <w:r w:rsidRPr="0006686F">
              <w:rPr>
                <w:rFonts w:asciiTheme="majorBidi" w:hAnsiTheme="majorBidi" w:cstheme="majorBidi"/>
                <w:sz w:val="22"/>
                <w:vertAlign w:val="subscript"/>
              </w:rPr>
              <w:t>P8</w:t>
            </w:r>
          </w:p>
        </w:tc>
        <w:tc>
          <w:tcPr>
            <w:tcW w:w="1150" w:type="dxa"/>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0.56</w:t>
            </w:r>
          </w:p>
        </w:tc>
        <w:tc>
          <w:tcPr>
            <w:tcW w:w="2051"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 /</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val="restart"/>
            <w:tcBorders>
              <w:top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AAC</w:t>
            </w:r>
          </w:p>
        </w:tc>
        <w:tc>
          <w:tcPr>
            <w:tcW w:w="810" w:type="dxa"/>
            <w:vMerge w:val="restart"/>
            <w:tcBorders>
              <w:top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P9</w:t>
            </w:r>
          </w:p>
        </w:tc>
        <w:tc>
          <w:tcPr>
            <w:tcW w:w="2647" w:type="dxa"/>
            <w:tcBorders>
              <w:top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Alumina</w:t>
            </w:r>
          </w:p>
        </w:tc>
        <w:tc>
          <w:tcPr>
            <w:tcW w:w="1150" w:type="dxa"/>
            <w:tcBorders>
              <w:top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1.96</w:t>
            </w:r>
          </w:p>
        </w:tc>
        <w:tc>
          <w:tcPr>
            <w:tcW w:w="2051" w:type="dxa"/>
            <w:tcBorders>
              <w:top w:val="single" w:sz="4" w:space="0" w:color="auto"/>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Cryolite</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0.03</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C58D5" w:rsidP="0006686F">
            <w:pPr>
              <w:spacing w:line="360" w:lineRule="auto"/>
              <w:rPr>
                <w:rFonts w:asciiTheme="majorBidi" w:hAnsiTheme="majorBidi" w:cstheme="majorBidi"/>
                <w:sz w:val="22"/>
              </w:rPr>
            </w:pPr>
            <w:r w:rsidRPr="0006686F">
              <w:rPr>
                <w:rFonts w:asciiTheme="majorBidi" w:hAnsiTheme="majorBidi" w:cstheme="majorBidi"/>
                <w:sz w:val="22"/>
              </w:rPr>
              <w:t>Aluminum</w:t>
            </w:r>
            <w:r w:rsidR="00A74481" w:rsidRPr="0006686F">
              <w:rPr>
                <w:rFonts w:asciiTheme="majorBidi" w:hAnsiTheme="majorBidi" w:cstheme="majorBidi"/>
                <w:sz w:val="22"/>
              </w:rPr>
              <w:t xml:space="preserve"> fluoride</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0.04</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Anode</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0.45</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C58D5" w:rsidP="0006686F">
            <w:pPr>
              <w:spacing w:line="360" w:lineRule="auto"/>
              <w:rPr>
                <w:rFonts w:asciiTheme="majorBidi" w:hAnsiTheme="majorBidi" w:cstheme="majorBidi"/>
                <w:sz w:val="22"/>
              </w:rPr>
            </w:pPr>
            <w:r w:rsidRPr="0006686F">
              <w:rPr>
                <w:rFonts w:asciiTheme="majorBidi" w:hAnsiTheme="majorBidi" w:cstheme="majorBidi"/>
                <w:sz w:val="22"/>
              </w:rPr>
              <w:t>Aluminum</w:t>
            </w:r>
            <w:r w:rsidR="00A74481" w:rsidRPr="0006686F">
              <w:rPr>
                <w:rFonts w:asciiTheme="majorBidi" w:hAnsiTheme="majorBidi" w:cstheme="majorBidi"/>
                <w:sz w:val="22"/>
              </w:rPr>
              <w:t xml:space="preserve"> ingot</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1.00</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SPL</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0.02</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EL </w:t>
            </w:r>
            <w:r w:rsidRPr="0006686F">
              <w:rPr>
                <w:rFonts w:asciiTheme="majorBidi" w:hAnsiTheme="majorBidi" w:cstheme="majorBidi"/>
                <w:sz w:val="22"/>
                <w:vertAlign w:val="subscript"/>
              </w:rPr>
              <w:t>input</w:t>
            </w:r>
          </w:p>
        </w:tc>
        <w:tc>
          <w:tcPr>
            <w:tcW w:w="1150" w:type="dxa"/>
            <w:tcBorders>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56.88</w:t>
            </w:r>
          </w:p>
        </w:tc>
        <w:tc>
          <w:tcPr>
            <w:tcW w:w="2051" w:type="dxa"/>
            <w:tcBorders>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 /</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tcBorders>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Waste Heat </w:t>
            </w:r>
            <w:r w:rsidRPr="0006686F">
              <w:rPr>
                <w:rFonts w:asciiTheme="majorBidi" w:hAnsiTheme="majorBidi" w:cstheme="majorBidi"/>
                <w:sz w:val="22"/>
                <w:vertAlign w:val="subscript"/>
              </w:rPr>
              <w:t>P9</w:t>
            </w:r>
          </w:p>
        </w:tc>
        <w:tc>
          <w:tcPr>
            <w:tcW w:w="1150" w:type="dxa"/>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11.38</w:t>
            </w:r>
          </w:p>
        </w:tc>
        <w:tc>
          <w:tcPr>
            <w:tcW w:w="2051"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 /</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val="restart"/>
            <w:tcBorders>
              <w:top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HOS</w:t>
            </w:r>
          </w:p>
        </w:tc>
        <w:tc>
          <w:tcPr>
            <w:tcW w:w="810" w:type="dxa"/>
            <w:vMerge w:val="restart"/>
            <w:tcBorders>
              <w:top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P5</w:t>
            </w:r>
          </w:p>
        </w:tc>
        <w:tc>
          <w:tcPr>
            <w:tcW w:w="2647" w:type="dxa"/>
            <w:tcBorders>
              <w:top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Lime</w:t>
            </w:r>
          </w:p>
        </w:tc>
        <w:tc>
          <w:tcPr>
            <w:tcW w:w="1150" w:type="dxa"/>
            <w:tcBorders>
              <w:top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0.02</w:t>
            </w:r>
          </w:p>
        </w:tc>
        <w:tc>
          <w:tcPr>
            <w:tcW w:w="2051" w:type="dxa"/>
            <w:tcBorders>
              <w:top w:val="single" w:sz="4" w:space="0" w:color="auto"/>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Molasses</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0.04</w:t>
            </w:r>
          </w:p>
        </w:tc>
        <w:tc>
          <w:tcPr>
            <w:tcW w:w="2051" w:type="dxa"/>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bottom w:val="nil"/>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CBI</w:t>
            </w:r>
          </w:p>
        </w:tc>
        <w:tc>
          <w:tcPr>
            <w:tcW w:w="1150" w:type="dxa"/>
            <w:tcBorders>
              <w:bottom w:val="nil"/>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1.00</w:t>
            </w:r>
          </w:p>
        </w:tc>
        <w:tc>
          <w:tcPr>
            <w:tcW w:w="2051" w:type="dxa"/>
            <w:tcBorders>
              <w:bottom w:val="nil"/>
            </w:tcBorders>
            <w:noWrap/>
            <w:vAlign w:val="center"/>
            <w:hideMark/>
          </w:tcPr>
          <w:p w:rsidR="00A74481" w:rsidRPr="0006686F" w:rsidRDefault="000414CA" w:rsidP="0006686F">
            <w:pPr>
              <w:spacing w:line="360" w:lineRule="auto"/>
              <w:rPr>
                <w:rFonts w:asciiTheme="majorBidi" w:hAnsiTheme="majorBidi" w:cstheme="majorBidi"/>
                <w:sz w:val="22"/>
              </w:rPr>
            </w:pPr>
            <w:r>
              <w:rPr>
                <w:rFonts w:asciiTheme="majorBidi" w:hAnsiTheme="majorBidi" w:cstheme="majorBidi"/>
                <w:sz w:val="22"/>
              </w:rPr>
              <w:t>tone</w:t>
            </w:r>
            <w:r w:rsidR="00A74481" w:rsidRPr="0006686F">
              <w:rPr>
                <w:rFonts w:asciiTheme="majorBidi" w:hAnsiTheme="majorBidi" w:cstheme="majorBidi"/>
                <w:sz w:val="22"/>
              </w:rPr>
              <w:t xml:space="preserve">/ </w:t>
            </w:r>
            <w:r>
              <w:rPr>
                <w:rFonts w:asciiTheme="majorBidi" w:hAnsiTheme="majorBidi" w:cstheme="majorBidi"/>
                <w:sz w:val="22"/>
              </w:rPr>
              <w:t>tone</w:t>
            </w:r>
            <w:r w:rsidR="00A74481" w:rsidRPr="0006686F">
              <w:rPr>
                <w:rFonts w:asciiTheme="majorBidi" w:hAnsiTheme="majorBidi" w:cstheme="majorBidi"/>
                <w:sz w:val="22"/>
              </w:rPr>
              <w:t xml:space="preserve"> product</w:t>
            </w:r>
          </w:p>
        </w:tc>
      </w:tr>
      <w:tr w:rsidR="00A74481" w:rsidRPr="00E72813" w:rsidTr="000414CA">
        <w:trPr>
          <w:cantSplit/>
        </w:trPr>
        <w:tc>
          <w:tcPr>
            <w:tcW w:w="900" w:type="dxa"/>
            <w:vMerge/>
            <w:tcBorders>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tcBorders>
              <w:bottom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EL </w:t>
            </w:r>
            <w:r w:rsidRPr="0006686F">
              <w:rPr>
                <w:rFonts w:asciiTheme="majorBidi" w:hAnsiTheme="majorBidi" w:cstheme="majorBidi"/>
                <w:sz w:val="22"/>
                <w:vertAlign w:val="subscript"/>
              </w:rPr>
              <w:t>input</w:t>
            </w:r>
          </w:p>
        </w:tc>
        <w:tc>
          <w:tcPr>
            <w:tcW w:w="1150" w:type="dxa"/>
            <w:tcBorders>
              <w:top w:val="nil"/>
              <w:bottom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0.06</w:t>
            </w:r>
          </w:p>
        </w:tc>
        <w:tc>
          <w:tcPr>
            <w:tcW w:w="2051" w:type="dxa"/>
            <w:tcBorders>
              <w:top w:val="nil"/>
              <w:bottom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 /</w:t>
            </w:r>
            <w:r w:rsidR="000414CA">
              <w:rPr>
                <w:rFonts w:asciiTheme="majorBidi" w:hAnsiTheme="majorBidi" w:cstheme="majorBidi"/>
                <w:sz w:val="22"/>
              </w:rPr>
              <w:t>tone</w:t>
            </w:r>
            <w:r w:rsidRPr="0006686F">
              <w:rPr>
                <w:rFonts w:asciiTheme="majorBidi" w:hAnsiTheme="majorBidi" w:cstheme="majorBidi"/>
                <w:sz w:val="22"/>
              </w:rPr>
              <w:t xml:space="preserve"> product</w:t>
            </w:r>
          </w:p>
        </w:tc>
      </w:tr>
      <w:tr w:rsidR="00A74481" w:rsidRPr="00E72813" w:rsidTr="000414CA">
        <w:trPr>
          <w:cantSplit/>
        </w:trPr>
        <w:tc>
          <w:tcPr>
            <w:tcW w:w="900" w:type="dxa"/>
            <w:vMerge w:val="restart"/>
            <w:tcBorders>
              <w:top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HPP</w:t>
            </w:r>
          </w:p>
        </w:tc>
        <w:tc>
          <w:tcPr>
            <w:tcW w:w="810" w:type="dxa"/>
            <w:vMerge w:val="restart"/>
            <w:tcBorders>
              <w:top w:val="single" w:sz="4" w:space="0" w:color="auto"/>
            </w:tcBorders>
            <w:vAlign w:val="center"/>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P6</w:t>
            </w:r>
          </w:p>
        </w:tc>
        <w:tc>
          <w:tcPr>
            <w:tcW w:w="2647" w:type="dxa"/>
            <w:tcBorders>
              <w:top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Natural Gas</w:t>
            </w:r>
          </w:p>
        </w:tc>
        <w:tc>
          <w:tcPr>
            <w:tcW w:w="1150" w:type="dxa"/>
            <w:tcBorders>
              <w:top w:val="single" w:sz="4" w:space="0" w:color="auto"/>
            </w:tcBorders>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3.06</w:t>
            </w:r>
          </w:p>
        </w:tc>
        <w:tc>
          <w:tcPr>
            <w:tcW w:w="2051" w:type="dxa"/>
            <w:tcBorders>
              <w:top w:val="single" w:sz="4" w:space="0" w:color="auto"/>
            </w:tcBorders>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GJ/GJ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 xml:space="preserve">Waste Heat </w:t>
            </w:r>
            <w:r w:rsidRPr="0006686F">
              <w:rPr>
                <w:rFonts w:asciiTheme="majorBidi" w:hAnsiTheme="majorBidi" w:cstheme="majorBidi"/>
                <w:sz w:val="22"/>
                <w:vertAlign w:val="subscript"/>
              </w:rPr>
              <w:t>P6</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2.06</w:t>
            </w:r>
          </w:p>
        </w:tc>
        <w:tc>
          <w:tcPr>
            <w:tcW w:w="2051" w:type="dxa"/>
            <w:noWrap/>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GJ/GJ product</w:t>
            </w:r>
          </w:p>
        </w:tc>
      </w:tr>
      <w:tr w:rsidR="00A74481" w:rsidRPr="00E72813" w:rsidTr="000414CA">
        <w:trPr>
          <w:cantSplit/>
        </w:trPr>
        <w:tc>
          <w:tcPr>
            <w:tcW w:w="900" w:type="dxa"/>
            <w:vMerge/>
            <w:noWrap/>
            <w:vAlign w:val="center"/>
            <w:hideMark/>
          </w:tcPr>
          <w:p w:rsidR="00A74481" w:rsidRPr="0006686F" w:rsidRDefault="00A74481" w:rsidP="000414CA">
            <w:pPr>
              <w:spacing w:line="360" w:lineRule="auto"/>
              <w:jc w:val="center"/>
              <w:rPr>
                <w:rFonts w:asciiTheme="majorBidi" w:hAnsiTheme="majorBidi" w:cstheme="majorBidi"/>
                <w:sz w:val="22"/>
              </w:rPr>
            </w:pPr>
          </w:p>
        </w:tc>
        <w:tc>
          <w:tcPr>
            <w:tcW w:w="810" w:type="dxa"/>
            <w:vMerge/>
            <w:vAlign w:val="center"/>
          </w:tcPr>
          <w:p w:rsidR="00A74481" w:rsidRPr="0006686F" w:rsidRDefault="00A74481" w:rsidP="000414CA">
            <w:pPr>
              <w:spacing w:line="360" w:lineRule="auto"/>
              <w:jc w:val="center"/>
              <w:rPr>
                <w:rFonts w:asciiTheme="majorBidi" w:hAnsiTheme="majorBidi" w:cstheme="majorBidi"/>
                <w:sz w:val="22"/>
              </w:rPr>
            </w:pPr>
          </w:p>
        </w:tc>
        <w:tc>
          <w:tcPr>
            <w:tcW w:w="2647" w:type="dxa"/>
            <w:noWrap/>
            <w:vAlign w:val="center"/>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EL-HPP</w:t>
            </w:r>
          </w:p>
        </w:tc>
        <w:tc>
          <w:tcPr>
            <w:tcW w:w="1150" w:type="dxa"/>
            <w:noWrap/>
            <w:vAlign w:val="center"/>
            <w:hideMark/>
          </w:tcPr>
          <w:p w:rsidR="00A74481" w:rsidRPr="0006686F" w:rsidRDefault="00A74481" w:rsidP="000414CA">
            <w:pPr>
              <w:spacing w:line="360" w:lineRule="auto"/>
              <w:jc w:val="center"/>
              <w:rPr>
                <w:rFonts w:asciiTheme="majorBidi" w:hAnsiTheme="majorBidi" w:cstheme="majorBidi"/>
                <w:sz w:val="22"/>
              </w:rPr>
            </w:pPr>
            <w:r w:rsidRPr="0006686F">
              <w:rPr>
                <w:rFonts w:asciiTheme="majorBidi" w:hAnsiTheme="majorBidi" w:cstheme="majorBidi"/>
                <w:sz w:val="22"/>
              </w:rPr>
              <w:t>1.00</w:t>
            </w:r>
          </w:p>
        </w:tc>
        <w:tc>
          <w:tcPr>
            <w:tcW w:w="2051" w:type="dxa"/>
            <w:noWrap/>
            <w:hideMark/>
          </w:tcPr>
          <w:p w:rsidR="00A74481" w:rsidRPr="0006686F" w:rsidRDefault="00A74481" w:rsidP="0006686F">
            <w:pPr>
              <w:spacing w:line="360" w:lineRule="auto"/>
              <w:rPr>
                <w:rFonts w:asciiTheme="majorBidi" w:hAnsiTheme="majorBidi" w:cstheme="majorBidi"/>
                <w:sz w:val="22"/>
              </w:rPr>
            </w:pPr>
            <w:r w:rsidRPr="0006686F">
              <w:rPr>
                <w:rFonts w:asciiTheme="majorBidi" w:hAnsiTheme="majorBidi" w:cstheme="majorBidi"/>
                <w:sz w:val="22"/>
              </w:rPr>
              <w:t>GJ/GJ product</w:t>
            </w:r>
          </w:p>
        </w:tc>
      </w:tr>
    </w:tbl>
    <w:p w:rsidR="00A74481" w:rsidRPr="007A3E32" w:rsidRDefault="00A74481" w:rsidP="00A74481">
      <w:pPr>
        <w:spacing w:after="100" w:afterAutospacing="1"/>
      </w:pPr>
    </w:p>
    <w:p w:rsidR="00A74481" w:rsidRPr="007A3E32" w:rsidRDefault="00A74481" w:rsidP="00B9676C">
      <w:pPr>
        <w:pStyle w:val="Heading1"/>
      </w:pPr>
      <w:r w:rsidRPr="007A3E32">
        <w:t xml:space="preserve">Appendix </w:t>
      </w:r>
      <w:r w:rsidR="00B9676C">
        <w:t>C:</w:t>
      </w:r>
      <w:r w:rsidRPr="007A3E32">
        <w:t xml:space="preserve"> model economic input data</w:t>
      </w:r>
    </w:p>
    <w:p w:rsidR="00A74481" w:rsidRDefault="00A74481" w:rsidP="00A74481">
      <w:pPr>
        <w:keepNext/>
        <w:spacing w:before="240"/>
        <w:rPr>
          <w:i/>
          <w:iCs/>
          <w:color w:val="44546A" w:themeColor="text2"/>
          <w:sz w:val="18"/>
          <w:szCs w:val="18"/>
        </w:rPr>
      </w:pPr>
      <w:r w:rsidRPr="007A3E32">
        <w:rPr>
          <w:i/>
          <w:iCs/>
          <w:color w:val="44546A" w:themeColor="text2"/>
          <w:sz w:val="18"/>
          <w:szCs w:val="18"/>
        </w:rPr>
        <w:t>Table C</w:t>
      </w:r>
      <w:r w:rsidRPr="007A3E32">
        <w:rPr>
          <w:i/>
          <w:iCs/>
          <w:color w:val="44546A" w:themeColor="text2"/>
          <w:sz w:val="18"/>
          <w:szCs w:val="18"/>
        </w:rPr>
        <w:fldChar w:fldCharType="begin"/>
      </w:r>
      <w:r w:rsidRPr="007A3E32">
        <w:rPr>
          <w:i/>
          <w:iCs/>
          <w:color w:val="44546A" w:themeColor="text2"/>
          <w:sz w:val="18"/>
          <w:szCs w:val="18"/>
        </w:rPr>
        <w:instrText xml:space="preserve"> SEQ Table_C \* ARABIC </w:instrText>
      </w:r>
      <w:r w:rsidRPr="007A3E32">
        <w:rPr>
          <w:i/>
          <w:iCs/>
          <w:color w:val="44546A" w:themeColor="text2"/>
          <w:sz w:val="18"/>
          <w:szCs w:val="18"/>
        </w:rPr>
        <w:fldChar w:fldCharType="separate"/>
      </w:r>
      <w:r>
        <w:rPr>
          <w:i/>
          <w:iCs/>
          <w:noProof/>
          <w:color w:val="44546A" w:themeColor="text2"/>
          <w:sz w:val="18"/>
          <w:szCs w:val="18"/>
        </w:rPr>
        <w:t>1</w:t>
      </w:r>
      <w:r w:rsidRPr="007A3E32">
        <w:rPr>
          <w:i/>
          <w:iCs/>
          <w:color w:val="44546A" w:themeColor="text2"/>
          <w:sz w:val="18"/>
          <w:szCs w:val="18"/>
        </w:rPr>
        <w:fldChar w:fldCharType="end"/>
      </w:r>
      <w:r w:rsidRPr="007A3E32">
        <w:rPr>
          <w:i/>
          <w:iCs/>
          <w:noProof/>
          <w:color w:val="44546A" w:themeColor="text2"/>
          <w:sz w:val="18"/>
          <w:szCs w:val="18"/>
        </w:rPr>
        <w:t xml:space="preserve"> CAPEX and OPEX of different waste recovery technologies</w:t>
      </w:r>
    </w:p>
    <w:tbl>
      <w:tblPr>
        <w:tblStyle w:val="PlainTable21"/>
        <w:tblW w:w="9609" w:type="dxa"/>
        <w:tblLook w:val="0620" w:firstRow="1" w:lastRow="0" w:firstColumn="0" w:lastColumn="0" w:noHBand="1" w:noVBand="1"/>
      </w:tblPr>
      <w:tblGrid>
        <w:gridCol w:w="4225"/>
        <w:gridCol w:w="1426"/>
        <w:gridCol w:w="3950"/>
        <w:gridCol w:w="8"/>
      </w:tblGrid>
      <w:tr w:rsidR="00E72813" w:rsidRPr="00A74481" w:rsidTr="003621F9">
        <w:trPr>
          <w:gridAfter w:val="1"/>
          <w:cnfStyle w:val="100000000000" w:firstRow="1" w:lastRow="0" w:firstColumn="0" w:lastColumn="0" w:oddVBand="0" w:evenVBand="0" w:oddHBand="0" w:evenHBand="0" w:firstRowFirstColumn="0" w:firstRowLastColumn="0" w:lastRowFirstColumn="0" w:lastRowLastColumn="0"/>
          <w:wAfter w:w="8" w:type="dxa"/>
          <w:cantSplit/>
          <w:tblHeader/>
        </w:trPr>
        <w:tc>
          <w:tcPr>
            <w:tcW w:w="4225" w:type="dxa"/>
            <w:noWrap/>
          </w:tcPr>
          <w:p w:rsidR="00E72813" w:rsidRPr="00AC58D5" w:rsidRDefault="00E72813" w:rsidP="00E72813">
            <w:pPr>
              <w:spacing w:line="360" w:lineRule="auto"/>
              <w:rPr>
                <w:rFonts w:asciiTheme="majorBidi" w:hAnsiTheme="majorBidi" w:cstheme="majorBidi"/>
                <w:sz w:val="22"/>
              </w:rPr>
            </w:pPr>
            <w:r w:rsidRPr="00AC58D5">
              <w:rPr>
                <w:rFonts w:asciiTheme="majorBidi" w:hAnsiTheme="majorBidi" w:cstheme="majorBidi"/>
                <w:sz w:val="22"/>
              </w:rPr>
              <w:t>Specification</w:t>
            </w:r>
          </w:p>
        </w:tc>
        <w:tc>
          <w:tcPr>
            <w:tcW w:w="1426" w:type="dxa"/>
            <w:noWrap/>
          </w:tcPr>
          <w:p w:rsidR="00E72813" w:rsidRPr="00AC58D5" w:rsidRDefault="00E72813" w:rsidP="00E72813">
            <w:pPr>
              <w:spacing w:line="360" w:lineRule="auto"/>
              <w:jc w:val="center"/>
              <w:rPr>
                <w:rFonts w:asciiTheme="majorBidi" w:hAnsiTheme="majorBidi" w:cstheme="majorBidi"/>
                <w:sz w:val="22"/>
              </w:rPr>
            </w:pPr>
            <w:r w:rsidRPr="00AC58D5">
              <w:rPr>
                <w:rFonts w:asciiTheme="majorBidi" w:hAnsiTheme="majorBidi" w:cstheme="majorBidi"/>
                <w:sz w:val="22"/>
              </w:rPr>
              <w:t>Amount</w:t>
            </w:r>
          </w:p>
        </w:tc>
        <w:tc>
          <w:tcPr>
            <w:tcW w:w="3950" w:type="dxa"/>
            <w:noWrap/>
          </w:tcPr>
          <w:p w:rsidR="00E72813" w:rsidRPr="00AC58D5" w:rsidRDefault="00E72813" w:rsidP="00E72813">
            <w:pPr>
              <w:spacing w:line="360" w:lineRule="auto"/>
              <w:rPr>
                <w:rFonts w:asciiTheme="majorBidi" w:hAnsiTheme="majorBidi" w:cstheme="majorBidi"/>
                <w:sz w:val="22"/>
              </w:rPr>
            </w:pPr>
            <w:r w:rsidRPr="00AC58D5">
              <w:rPr>
                <w:rFonts w:asciiTheme="majorBidi" w:hAnsiTheme="majorBidi" w:cstheme="majorBidi"/>
                <w:sz w:val="22"/>
              </w:rPr>
              <w:t xml:space="preserve">Reference </w:t>
            </w:r>
          </w:p>
        </w:tc>
      </w:tr>
      <w:tr w:rsidR="00E72813" w:rsidRPr="00A74481" w:rsidTr="003621F9">
        <w:trPr>
          <w:cantSplit/>
        </w:trPr>
        <w:tc>
          <w:tcPr>
            <w:tcW w:w="9609" w:type="dxa"/>
            <w:gridSpan w:val="4"/>
            <w:noWrap/>
            <w:hideMark/>
          </w:tcPr>
          <w:p w:rsidR="00E72813" w:rsidRPr="00E72813" w:rsidRDefault="00E72813" w:rsidP="00E72813">
            <w:pPr>
              <w:spacing w:line="360" w:lineRule="auto"/>
              <w:jc w:val="center"/>
              <w:rPr>
                <w:rFonts w:asciiTheme="majorBidi" w:hAnsiTheme="majorBidi" w:cstheme="majorBidi"/>
                <w:b/>
                <w:bCs/>
                <w:sz w:val="22"/>
              </w:rPr>
            </w:pPr>
            <w:r w:rsidRPr="00E72813">
              <w:rPr>
                <w:rFonts w:asciiTheme="majorBidi" w:hAnsiTheme="majorBidi" w:cstheme="majorBidi"/>
                <w:b/>
                <w:bCs/>
                <w:sz w:val="22"/>
              </w:rPr>
              <w:t>P14</w:t>
            </w:r>
            <w:r>
              <w:rPr>
                <w:rFonts w:asciiTheme="majorBidi" w:hAnsiTheme="majorBidi" w:cstheme="majorBidi"/>
                <w:b/>
                <w:bCs/>
                <w:sz w:val="22"/>
              </w:rPr>
              <w:t xml:space="preserve"> (</w:t>
            </w:r>
            <w:r w:rsidRPr="00E72813">
              <w:rPr>
                <w:rFonts w:asciiTheme="majorBidi" w:hAnsiTheme="majorBidi" w:cstheme="majorBidi"/>
                <w:sz w:val="22"/>
              </w:rPr>
              <w:t>heat recovery steam generator + steam turbine (HRSG+ST)</w:t>
            </w:r>
            <w:r>
              <w:rPr>
                <w:rFonts w:asciiTheme="majorBidi" w:hAnsiTheme="majorBidi" w:cstheme="majorBidi"/>
                <w:b/>
                <w:bCs/>
                <w:sz w:val="22"/>
              </w:rPr>
              <w:t>)</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efficiency</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0.32</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Capacity (GT + ST) (TJ)</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6887</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Capacity (GT + ST) (kW)</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229,879</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total capital requirement (TCR) (€/kW)</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800</w:t>
            </w:r>
          </w:p>
        </w:tc>
        <w:tc>
          <w:tcPr>
            <w:tcW w:w="3950"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(IEAGHG, 2020)</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 xml:space="preserve">Cost ratio GT/ (HRSG+ST) </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1.16</w:t>
            </w:r>
          </w:p>
        </w:tc>
        <w:tc>
          <w:tcPr>
            <w:tcW w:w="3950"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(Manzolini et al., 2015)</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lastRenderedPageBreak/>
              <w:t>TCR, total (€)</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183,903,457</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TCR, P14 (k€)</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85,140</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AC, capital (k€/yr)</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9,961</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OPEX, fixed</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398</w:t>
            </w:r>
          </w:p>
        </w:tc>
        <w:tc>
          <w:tcPr>
            <w:tcW w:w="3950"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(Kuramochi, Faaij, Ramírez, &amp; Turkenburg, 2010)</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AC, P14</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10,360</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tcBorders>
              <w:bottom w:val="nil"/>
            </w:tcBorders>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OPEX, var (k€/TJ)</w:t>
            </w:r>
          </w:p>
        </w:tc>
        <w:tc>
          <w:tcPr>
            <w:tcW w:w="1426" w:type="dxa"/>
            <w:tcBorders>
              <w:bottom w:val="nil"/>
            </w:tcBorders>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0.16</w:t>
            </w:r>
          </w:p>
        </w:tc>
        <w:tc>
          <w:tcPr>
            <w:tcW w:w="3950" w:type="dxa"/>
            <w:tcBorders>
              <w:bottom w:val="nil"/>
            </w:tcBorders>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(Manzolini et al., 2015)</w:t>
            </w:r>
          </w:p>
        </w:tc>
      </w:tr>
      <w:tr w:rsidR="00E72813" w:rsidRPr="00A74481" w:rsidTr="003621F9">
        <w:trPr>
          <w:gridAfter w:val="1"/>
          <w:wAfter w:w="8" w:type="dxa"/>
          <w:cantSplit/>
        </w:trPr>
        <w:tc>
          <w:tcPr>
            <w:tcW w:w="4225" w:type="dxa"/>
            <w:tcBorders>
              <w:top w:val="nil"/>
              <w:bottom w:val="single" w:sz="4" w:space="0" w:color="auto"/>
            </w:tcBorders>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Cost price generated electricity</w:t>
            </w:r>
          </w:p>
        </w:tc>
        <w:tc>
          <w:tcPr>
            <w:tcW w:w="1426" w:type="dxa"/>
            <w:tcBorders>
              <w:top w:val="nil"/>
              <w:bottom w:val="single" w:sz="4" w:space="0" w:color="auto"/>
            </w:tcBorders>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3.94</w:t>
            </w:r>
          </w:p>
        </w:tc>
        <w:tc>
          <w:tcPr>
            <w:tcW w:w="3950" w:type="dxa"/>
            <w:tcBorders>
              <w:top w:val="nil"/>
              <w:bottom w:val="single" w:sz="4" w:space="0" w:color="auto"/>
            </w:tcBorders>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cantSplit/>
        </w:trPr>
        <w:tc>
          <w:tcPr>
            <w:tcW w:w="9609" w:type="dxa"/>
            <w:gridSpan w:val="4"/>
            <w:noWrap/>
            <w:hideMark/>
          </w:tcPr>
          <w:p w:rsidR="00E72813" w:rsidRPr="00E72813" w:rsidRDefault="00E72813" w:rsidP="00E72813">
            <w:pPr>
              <w:spacing w:line="360" w:lineRule="auto"/>
              <w:jc w:val="center"/>
              <w:rPr>
                <w:rFonts w:asciiTheme="majorBidi" w:hAnsiTheme="majorBidi" w:cstheme="majorBidi"/>
                <w:b/>
                <w:bCs/>
                <w:sz w:val="22"/>
              </w:rPr>
            </w:pPr>
            <w:r w:rsidRPr="00E72813">
              <w:rPr>
                <w:rFonts w:asciiTheme="majorBidi" w:hAnsiTheme="majorBidi" w:cstheme="majorBidi"/>
                <w:b/>
                <w:bCs/>
                <w:sz w:val="22"/>
              </w:rPr>
              <w:t>P16</w:t>
            </w:r>
            <w:r>
              <w:rPr>
                <w:rFonts w:asciiTheme="majorBidi" w:hAnsiTheme="majorBidi" w:cstheme="majorBidi"/>
                <w:b/>
                <w:bCs/>
                <w:sz w:val="22"/>
              </w:rPr>
              <w:t xml:space="preserve"> (</w:t>
            </w:r>
            <w:r w:rsidRPr="00E72813">
              <w:rPr>
                <w:rFonts w:asciiTheme="majorBidi" w:hAnsiTheme="majorBidi" w:cstheme="majorBidi"/>
                <w:sz w:val="22"/>
              </w:rPr>
              <w:t>absorption chiller (ABC)</w:t>
            </w:r>
            <w:r>
              <w:rPr>
                <w:rFonts w:asciiTheme="majorBidi" w:hAnsiTheme="majorBidi" w:cstheme="majorBidi"/>
                <w:sz w:val="22"/>
              </w:rPr>
              <w:t>)</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efficiency</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0.72</w:t>
            </w:r>
          </w:p>
        </w:tc>
        <w:tc>
          <w:tcPr>
            <w:tcW w:w="3950"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calculated (Oluleye, Jiang, Smith, &amp; Jobson, 2017)</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Capacity (TJ/yr)</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406.1</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Capacity (kW)</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13,554.4</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total capital requirement (TCR) (€/kW)</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500</w:t>
            </w:r>
          </w:p>
        </w:tc>
        <w:tc>
          <w:tcPr>
            <w:tcW w:w="3950"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(U.S. Department of Energy, 2016)</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Investment cost (k€)</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6,777</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AC, capital (k€/yr)</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793</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OPEX, fixed (k€/yr)</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29</w:t>
            </w:r>
          </w:p>
        </w:tc>
        <w:tc>
          <w:tcPr>
            <w:tcW w:w="3950"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(U.S. Department of Energy, 2016)</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AC, P14</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822</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tcBorders>
              <w:bottom w:val="nil"/>
            </w:tcBorders>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OPEX, var (k€/TJ)</w:t>
            </w:r>
          </w:p>
        </w:tc>
        <w:tc>
          <w:tcPr>
            <w:tcW w:w="1426" w:type="dxa"/>
            <w:tcBorders>
              <w:bottom w:val="nil"/>
            </w:tcBorders>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0.07</w:t>
            </w:r>
          </w:p>
        </w:tc>
        <w:tc>
          <w:tcPr>
            <w:tcW w:w="3950" w:type="dxa"/>
            <w:tcBorders>
              <w:bottom w:val="nil"/>
            </w:tcBorders>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(U.S. Department of Energy, 2016)</w:t>
            </w:r>
          </w:p>
        </w:tc>
      </w:tr>
      <w:tr w:rsidR="00E72813" w:rsidRPr="00A74481" w:rsidTr="003621F9">
        <w:trPr>
          <w:gridAfter w:val="1"/>
          <w:wAfter w:w="8" w:type="dxa"/>
          <w:cantSplit/>
        </w:trPr>
        <w:tc>
          <w:tcPr>
            <w:tcW w:w="4225" w:type="dxa"/>
            <w:tcBorders>
              <w:top w:val="nil"/>
              <w:bottom w:val="single" w:sz="4" w:space="0" w:color="auto"/>
            </w:tcBorders>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Cost price generated cooling</w:t>
            </w:r>
          </w:p>
        </w:tc>
        <w:tc>
          <w:tcPr>
            <w:tcW w:w="1426" w:type="dxa"/>
            <w:tcBorders>
              <w:top w:val="nil"/>
              <w:bottom w:val="single" w:sz="4" w:space="0" w:color="auto"/>
            </w:tcBorders>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2.1</w:t>
            </w:r>
          </w:p>
        </w:tc>
        <w:tc>
          <w:tcPr>
            <w:tcW w:w="3950" w:type="dxa"/>
            <w:tcBorders>
              <w:top w:val="nil"/>
              <w:bottom w:val="single" w:sz="4" w:space="0" w:color="auto"/>
            </w:tcBorders>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cantSplit/>
        </w:trPr>
        <w:tc>
          <w:tcPr>
            <w:tcW w:w="9609" w:type="dxa"/>
            <w:gridSpan w:val="4"/>
            <w:noWrap/>
            <w:hideMark/>
          </w:tcPr>
          <w:p w:rsidR="00E72813" w:rsidRPr="00E72813" w:rsidRDefault="00E72813" w:rsidP="00E72813">
            <w:pPr>
              <w:spacing w:line="360" w:lineRule="auto"/>
              <w:jc w:val="center"/>
              <w:rPr>
                <w:rFonts w:asciiTheme="majorBidi" w:hAnsiTheme="majorBidi" w:cstheme="majorBidi"/>
                <w:b/>
                <w:bCs/>
                <w:sz w:val="22"/>
              </w:rPr>
            </w:pPr>
            <w:r w:rsidRPr="00E72813">
              <w:rPr>
                <w:rFonts w:asciiTheme="majorBidi" w:hAnsiTheme="majorBidi" w:cstheme="majorBidi"/>
                <w:b/>
                <w:bCs/>
                <w:sz w:val="22"/>
              </w:rPr>
              <w:t>P18</w:t>
            </w:r>
            <w:r>
              <w:rPr>
                <w:rFonts w:asciiTheme="majorBidi" w:hAnsiTheme="majorBidi" w:cstheme="majorBidi"/>
                <w:b/>
                <w:bCs/>
                <w:sz w:val="22"/>
              </w:rPr>
              <w:t xml:space="preserve"> (</w:t>
            </w:r>
            <w:r w:rsidRPr="00E72813">
              <w:rPr>
                <w:rFonts w:asciiTheme="majorBidi" w:hAnsiTheme="majorBidi" w:cstheme="majorBidi"/>
                <w:sz w:val="22"/>
              </w:rPr>
              <w:t>waste heat steam generator +</w:t>
            </w:r>
            <w:r>
              <w:rPr>
                <w:rFonts w:asciiTheme="majorBidi" w:hAnsiTheme="majorBidi" w:cstheme="majorBidi"/>
                <w:sz w:val="22"/>
              </w:rPr>
              <w:t xml:space="preserve"> Organic Rankine Cycle</w:t>
            </w:r>
            <w:r w:rsidRPr="00E72813">
              <w:rPr>
                <w:rFonts w:asciiTheme="majorBidi" w:hAnsiTheme="majorBidi" w:cstheme="majorBidi"/>
                <w:sz w:val="22"/>
              </w:rPr>
              <w:t xml:space="preserve"> (WRSG+ORC)</w:t>
            </w:r>
            <w:r>
              <w:rPr>
                <w:rFonts w:asciiTheme="majorBidi" w:hAnsiTheme="majorBidi" w:cstheme="majorBidi"/>
                <w:b/>
                <w:bCs/>
                <w:sz w:val="22"/>
              </w:rPr>
              <w:t>)</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type</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efficiency</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0.14</w:t>
            </w:r>
          </w:p>
        </w:tc>
        <w:tc>
          <w:tcPr>
            <w:tcW w:w="3950" w:type="dxa"/>
            <w:noWrap/>
            <w:hideMark/>
          </w:tcPr>
          <w:p w:rsidR="00E72813" w:rsidRPr="00E72813" w:rsidRDefault="00E72813" w:rsidP="00E72813">
            <w:pPr>
              <w:spacing w:line="360" w:lineRule="auto"/>
              <w:rPr>
                <w:rFonts w:asciiTheme="majorBidi" w:hAnsiTheme="majorBidi" w:cstheme="majorBidi"/>
                <w:sz w:val="22"/>
                <w:lang w:val="nl-NL"/>
              </w:rPr>
            </w:pPr>
            <w:r w:rsidRPr="00E72813">
              <w:rPr>
                <w:rFonts w:asciiTheme="majorBidi" w:hAnsiTheme="majorBidi" w:cstheme="majorBidi"/>
                <w:sz w:val="22"/>
                <w:lang w:val="nl-NL"/>
              </w:rPr>
              <w:t>Nardin et al., 2018; Pili et al., 2020; Bause et al., 2015</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Capacity (TJ/yr)</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134.4</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Capacity (kW)</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4,486</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total capital requirement (TCR) (€/kW)</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1.82</w:t>
            </w:r>
          </w:p>
        </w:tc>
        <w:tc>
          <w:tcPr>
            <w:tcW w:w="3950"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(Tenova, 2009); (Nardin et al., 2018)</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Investment cost (k€)</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8,165</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AC, capital (k€/yr)</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955</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OPEX, fixed (k€/yr)</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120</w:t>
            </w:r>
          </w:p>
        </w:tc>
        <w:tc>
          <w:tcPr>
            <w:tcW w:w="3950"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(Forni et al., 2014)</w:t>
            </w: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AC, P14</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1,075</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OPEX, var (k€/TJ)</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0</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r w:rsidR="00E72813" w:rsidRPr="00A74481" w:rsidTr="003621F9">
        <w:trPr>
          <w:gridAfter w:val="1"/>
          <w:wAfter w:w="8" w:type="dxa"/>
          <w:cantSplit/>
        </w:trPr>
        <w:tc>
          <w:tcPr>
            <w:tcW w:w="4225" w:type="dxa"/>
            <w:noWrap/>
            <w:hideMark/>
          </w:tcPr>
          <w:p w:rsidR="00E72813" w:rsidRPr="00E72813" w:rsidRDefault="00E72813" w:rsidP="00E72813">
            <w:pPr>
              <w:spacing w:line="360" w:lineRule="auto"/>
              <w:rPr>
                <w:rFonts w:asciiTheme="majorBidi" w:hAnsiTheme="majorBidi" w:cstheme="majorBidi"/>
                <w:sz w:val="22"/>
              </w:rPr>
            </w:pPr>
            <w:r w:rsidRPr="00E72813">
              <w:rPr>
                <w:rFonts w:asciiTheme="majorBidi" w:hAnsiTheme="majorBidi" w:cstheme="majorBidi"/>
                <w:sz w:val="22"/>
              </w:rPr>
              <w:t>Cost price generated cooling</w:t>
            </w:r>
          </w:p>
        </w:tc>
        <w:tc>
          <w:tcPr>
            <w:tcW w:w="1426" w:type="dxa"/>
            <w:noWrap/>
            <w:hideMark/>
          </w:tcPr>
          <w:p w:rsidR="00E72813" w:rsidRPr="00E72813" w:rsidRDefault="00E72813" w:rsidP="00E72813">
            <w:pPr>
              <w:spacing w:line="360" w:lineRule="auto"/>
              <w:jc w:val="center"/>
              <w:rPr>
                <w:rFonts w:asciiTheme="majorBidi" w:hAnsiTheme="majorBidi" w:cstheme="majorBidi"/>
                <w:sz w:val="22"/>
              </w:rPr>
            </w:pPr>
            <w:r w:rsidRPr="00E72813">
              <w:rPr>
                <w:rFonts w:asciiTheme="majorBidi" w:hAnsiTheme="majorBidi" w:cstheme="majorBidi"/>
                <w:sz w:val="22"/>
              </w:rPr>
              <w:t>8.0</w:t>
            </w:r>
          </w:p>
        </w:tc>
        <w:tc>
          <w:tcPr>
            <w:tcW w:w="3950" w:type="dxa"/>
            <w:noWrap/>
            <w:hideMark/>
          </w:tcPr>
          <w:p w:rsidR="00E72813" w:rsidRPr="00E72813" w:rsidRDefault="00E72813" w:rsidP="00E72813">
            <w:pPr>
              <w:spacing w:line="360" w:lineRule="auto"/>
              <w:rPr>
                <w:rFonts w:asciiTheme="majorBidi" w:hAnsiTheme="majorBidi" w:cstheme="majorBidi"/>
                <w:sz w:val="22"/>
              </w:rPr>
            </w:pPr>
          </w:p>
        </w:tc>
      </w:tr>
    </w:tbl>
    <w:p w:rsidR="00A74481" w:rsidRPr="007A3E32" w:rsidRDefault="00A74481" w:rsidP="00A74481">
      <w:pPr>
        <w:keepNext/>
        <w:spacing w:before="240"/>
        <w:rPr>
          <w:i/>
          <w:iCs/>
          <w:color w:val="44546A" w:themeColor="text2"/>
          <w:sz w:val="18"/>
          <w:szCs w:val="18"/>
        </w:rPr>
      </w:pPr>
      <w:r w:rsidRPr="007A3E32">
        <w:rPr>
          <w:i/>
          <w:iCs/>
          <w:color w:val="44546A" w:themeColor="text2"/>
          <w:sz w:val="18"/>
          <w:szCs w:val="18"/>
        </w:rPr>
        <w:lastRenderedPageBreak/>
        <w:t>Table C</w:t>
      </w:r>
      <w:r w:rsidRPr="007A3E32">
        <w:rPr>
          <w:i/>
          <w:iCs/>
          <w:color w:val="44546A" w:themeColor="text2"/>
          <w:sz w:val="18"/>
          <w:szCs w:val="18"/>
        </w:rPr>
        <w:fldChar w:fldCharType="begin"/>
      </w:r>
      <w:r w:rsidRPr="007A3E32">
        <w:rPr>
          <w:i/>
          <w:iCs/>
          <w:color w:val="44546A" w:themeColor="text2"/>
          <w:sz w:val="18"/>
          <w:szCs w:val="18"/>
        </w:rPr>
        <w:instrText xml:space="preserve"> SEQ Table_C \* ARABIC </w:instrText>
      </w:r>
      <w:r w:rsidRPr="007A3E32">
        <w:rPr>
          <w:i/>
          <w:iCs/>
          <w:color w:val="44546A" w:themeColor="text2"/>
          <w:sz w:val="18"/>
          <w:szCs w:val="18"/>
        </w:rPr>
        <w:fldChar w:fldCharType="separate"/>
      </w:r>
      <w:r>
        <w:rPr>
          <w:i/>
          <w:iCs/>
          <w:noProof/>
          <w:color w:val="44546A" w:themeColor="text2"/>
          <w:sz w:val="18"/>
          <w:szCs w:val="18"/>
        </w:rPr>
        <w:t>2</w:t>
      </w:r>
      <w:r w:rsidRPr="007A3E32">
        <w:rPr>
          <w:i/>
          <w:iCs/>
          <w:color w:val="44546A" w:themeColor="text2"/>
          <w:sz w:val="18"/>
          <w:szCs w:val="18"/>
        </w:rPr>
        <w:fldChar w:fldCharType="end"/>
      </w:r>
      <w:r w:rsidRPr="007A3E32">
        <w:rPr>
          <w:i/>
          <w:iCs/>
          <w:color w:val="44546A" w:themeColor="text2"/>
          <w:sz w:val="18"/>
          <w:szCs w:val="18"/>
        </w:rPr>
        <w:t xml:space="preserve"> Input prices and costs to the model</w:t>
      </w:r>
    </w:p>
    <w:tbl>
      <w:tblPr>
        <w:tblStyle w:val="PlainTable21"/>
        <w:tblW w:w="0" w:type="auto"/>
        <w:tblLayout w:type="fixed"/>
        <w:tblLook w:val="0620" w:firstRow="1" w:lastRow="0" w:firstColumn="0" w:lastColumn="0" w:noHBand="1" w:noVBand="1"/>
      </w:tblPr>
      <w:tblGrid>
        <w:gridCol w:w="2070"/>
        <w:gridCol w:w="900"/>
        <w:gridCol w:w="1080"/>
        <w:gridCol w:w="5310"/>
      </w:tblGrid>
      <w:tr w:rsidR="00A74481" w:rsidRPr="00F802F5" w:rsidTr="00E72813">
        <w:trPr>
          <w:cnfStyle w:val="100000000000" w:firstRow="1" w:lastRow="0" w:firstColumn="0" w:lastColumn="0" w:oddVBand="0" w:evenVBand="0" w:oddHBand="0" w:evenHBand="0" w:firstRowFirstColumn="0" w:firstRowLastColumn="0" w:lastRowFirstColumn="0" w:lastRowLastColumn="0"/>
          <w:cantSplit/>
        </w:trPr>
        <w:tc>
          <w:tcPr>
            <w:tcW w:w="207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Resources</w:t>
            </w:r>
          </w:p>
        </w:tc>
        <w:tc>
          <w:tcPr>
            <w:tcW w:w="90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Value</w:t>
            </w:r>
          </w:p>
        </w:tc>
        <w:tc>
          <w:tcPr>
            <w:tcW w:w="108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unit</w:t>
            </w:r>
          </w:p>
        </w:tc>
        <w:tc>
          <w:tcPr>
            <w:tcW w:w="531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reference</w:t>
            </w:r>
          </w:p>
        </w:tc>
      </w:tr>
      <w:tr w:rsidR="00A74481" w:rsidRPr="00F802F5" w:rsidTr="00E72813">
        <w:trPr>
          <w:cantSplit/>
        </w:trPr>
        <w:tc>
          <w:tcPr>
            <w:tcW w:w="207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Electricity at EN0</w:t>
            </w:r>
          </w:p>
        </w:tc>
        <w:tc>
          <w:tcPr>
            <w:tcW w:w="90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4.45</w:t>
            </w:r>
          </w:p>
        </w:tc>
        <w:tc>
          <w:tcPr>
            <w:tcW w:w="108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€/GJ</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00F802F5">
              <w:rPr>
                <w:rFonts w:asciiTheme="majorBidi" w:hAnsiTheme="majorBidi" w:cstheme="majorBidi"/>
                <w:sz w:val="22"/>
              </w:rPr>
              <w:instrText>ADDIN CSL_CITATION {"citationItems":[{"id":"ITEM-1","itemData":{"DOI":"10.3390/su12156192","ISSN":"20711050","abstract":"Industrial Symbiosis (IS) is a collaboration between nearby industrial plants to exchange waste material and energy and achieve economic and environmental benefits that cannot be obtained individually. IS emergence in a cluster requires both technical potentials for material and energy exchange and social readiness for collaboration. In this paper, to gain insight into IS dynamics in emerging industrial clusters; we investigate shared concepts governing actors’ behavior in the form of rules and regulations, and social norms and practices. We implemented the IS dynamics framework to reveal which dynamics are supported either by the legislation or actors’ preferences. The Persian Gulf Mining and Metal Industries Special Economic Zone in Iran is used as a case study. The case study revealed that previous successful collaborations in the cluster were often self-organized, but stakeholders preferred to initiate new IS collaborations if financial incentives and infrastructure are provided. Meanwhile, the institutional analysis showed that institutional arrangements (e.g., pricing and penalties) are not in favor of IS emergence. Even though stakeholders might engage in self-organized IS because of inherent problems such as resource scarcity, the lack of clear and effective institutions could hinder IS. This understanding can help both the government and stakeholders in their strategies for future collaborations under different economic and environmental policies.","author":[{"dropping-particle":"","family":"Noori","given":"Shiva","non-dropping-particle":"","parse-names":false,"suffix":""},{"dropping-particle":"","family":"Korevaar","given":"Gijsbert","non-dropping-particle":"","parse-names":false,"suffix":""},{"dropping-particle":"","family":"Ramirez Ramirez","given":"Andrea","non-dropping-particle":"","parse-names":false,"suffix":""}],"container-title":"Sustainability","id":"ITEM-1","issue":"15","issued":{"date-parts":[["2020"]]},"page":"6192","title":"Institutional Lens upon Industrial Symbiosis Dynamics: The case of Persian Gulf Mining and Metal Industries Special Economic Zone","type":"article-journal","volume":"12"},"uris":["http://www.mendeley.com/documents/?uuid=b9bff09f-1659-457c-888f-a92cab24b732"]}],"mendeley":{"formattedCitation":"(Noori, Korevaar, &amp; Ramirez Ramirez, 2020)","plainTextFormattedCitation":"(Noori, Korevaar, &amp; Ramirez Ramirez, 2020)","previouslyFormattedCitation":"(S. Noori et al., 2020)"},"properties":{"noteIndex":0},"schema":"https://github.com/citation-style-language/schema/raw/master/csl-citation.json"}</w:instrText>
            </w:r>
            <w:r w:rsidRPr="00F802F5">
              <w:rPr>
                <w:rFonts w:asciiTheme="majorBidi" w:hAnsiTheme="majorBidi" w:cstheme="majorBidi"/>
                <w:sz w:val="22"/>
              </w:rPr>
              <w:fldChar w:fldCharType="separate"/>
            </w:r>
            <w:r w:rsidR="00F802F5" w:rsidRPr="00F802F5">
              <w:rPr>
                <w:rFonts w:asciiTheme="majorBidi" w:hAnsiTheme="majorBidi" w:cstheme="majorBidi"/>
                <w:noProof/>
                <w:sz w:val="22"/>
              </w:rPr>
              <w:t>(Noori, Korevaar, &amp; Ramirez Ramirez, 2020)</w:t>
            </w:r>
            <w:r w:rsidRPr="00F802F5">
              <w:rPr>
                <w:rFonts w:asciiTheme="majorBidi" w:hAnsiTheme="majorBidi" w:cstheme="majorBidi"/>
                <w:sz w:val="22"/>
              </w:rPr>
              <w:fldChar w:fldCharType="end"/>
            </w:r>
          </w:p>
        </w:tc>
      </w:tr>
      <w:tr w:rsidR="00A74481" w:rsidRPr="00F802F5" w:rsidTr="00E72813">
        <w:trPr>
          <w:cantSplit/>
        </w:trPr>
        <w:tc>
          <w:tcPr>
            <w:tcW w:w="207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Natural Gas at EN0</w:t>
            </w:r>
          </w:p>
        </w:tc>
        <w:tc>
          <w:tcPr>
            <w:tcW w:w="90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0.83</w:t>
            </w:r>
          </w:p>
        </w:tc>
        <w:tc>
          <w:tcPr>
            <w:tcW w:w="108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€/GJ</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00F802F5">
              <w:rPr>
                <w:rFonts w:asciiTheme="majorBidi" w:hAnsiTheme="majorBidi" w:cstheme="majorBidi"/>
                <w:sz w:val="22"/>
              </w:rPr>
              <w:instrText>ADDIN CSL_CITATION {"citationItems":[{"id":"ITEM-1","itemData":{"DOI":"10.3390/su12156192","ISSN":"20711050","abstract":"Industrial Symbiosis (IS) is a collaboration between nearby industrial plants to exchange waste material and energy and achieve economic and environmental benefits that cannot be obtained individually. IS emergence in a cluster requires both technical potentials for material and energy exchange and social readiness for collaboration. In this paper, to gain insight into IS dynamics in emerging industrial clusters; we investigate shared concepts governing actors’ behavior in the form of rules and regulations, and social norms and practices. We implemented the IS dynamics framework to reveal which dynamics are supported either by the legislation or actors’ preferences. The Persian Gulf Mining and Metal Industries Special Economic Zone in Iran is used as a case study. The case study revealed that previous successful collaborations in the cluster were often self-organized, but stakeholders preferred to initiate new IS collaborations if financial incentives and infrastructure are provided. Meanwhile, the institutional analysis showed that institutional arrangements (e.g., pricing and penalties) are not in favor of IS emergence. Even though stakeholders might engage in self-organized IS because of inherent problems such as resource scarcity, the lack of clear and effective institutions could hinder IS. This understanding can help both the government and stakeholders in their strategies for future collaborations under different economic and environmental policies.","author":[{"dropping-particle":"","family":"Noori","given":"Shiva","non-dropping-particle":"","parse-names":false,"suffix":""},{"dropping-particle":"","family":"Korevaar","given":"Gijsbert","non-dropping-particle":"","parse-names":false,"suffix":""},{"dropping-particle":"","family":"Ramirez Ramirez","given":"Andrea","non-dropping-particle":"","parse-names":false,"suffix":""}],"container-title":"Sustainability","id":"ITEM-1","issue":"15","issued":{"date-parts":[["2020"]]},"page":"6192","title":"Institutional Lens upon Industrial Symbiosis Dynamics: The case of Persian Gulf Mining and Metal Industries Special Economic Zone","type":"article-journal","volume":"12"},"uris":["http://www.mendeley.com/documents/?uuid=b9bff09f-1659-457c-888f-a92cab24b732"]}],"mendeley":{"formattedCitation":"(Noori et al., 2020)","plainTextFormattedCitation":"(Noori et al., 2020)","previouslyFormattedCitation":"(S. Noori et al., 2020)"},"properties":{"noteIndex":0},"schema":"https://github.com/citation-style-language/schema/raw/master/csl-citation.json"}</w:instrText>
            </w:r>
            <w:r w:rsidRPr="00F802F5">
              <w:rPr>
                <w:rFonts w:asciiTheme="majorBidi" w:hAnsiTheme="majorBidi" w:cstheme="majorBidi"/>
                <w:sz w:val="22"/>
              </w:rPr>
              <w:fldChar w:fldCharType="separate"/>
            </w:r>
            <w:r w:rsidR="00F802F5" w:rsidRPr="00F802F5">
              <w:rPr>
                <w:rFonts w:asciiTheme="majorBidi" w:hAnsiTheme="majorBidi" w:cstheme="majorBidi"/>
                <w:noProof/>
                <w:sz w:val="22"/>
              </w:rPr>
              <w:t>(Noori et al., 2020)</w:t>
            </w:r>
            <w:r w:rsidRPr="00F802F5">
              <w:rPr>
                <w:rFonts w:asciiTheme="majorBidi" w:hAnsiTheme="majorBidi" w:cstheme="majorBidi"/>
                <w:sz w:val="22"/>
              </w:rPr>
              <w:fldChar w:fldCharType="end"/>
            </w:r>
          </w:p>
        </w:tc>
      </w:tr>
      <w:tr w:rsidR="00A74481" w:rsidRPr="00F802F5" w:rsidTr="00E72813">
        <w:trPr>
          <w:cantSplit/>
        </w:trPr>
        <w:tc>
          <w:tcPr>
            <w:tcW w:w="207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Industrial Water</w:t>
            </w:r>
          </w:p>
        </w:tc>
        <w:tc>
          <w:tcPr>
            <w:tcW w:w="90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0.14</w:t>
            </w:r>
          </w:p>
        </w:tc>
        <w:tc>
          <w:tcPr>
            <w:tcW w:w="108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€/Nm</w:t>
            </w:r>
            <w:r w:rsidRPr="00F802F5">
              <w:rPr>
                <w:rFonts w:asciiTheme="majorBidi" w:hAnsiTheme="majorBidi" w:cstheme="majorBidi"/>
                <w:sz w:val="22"/>
                <w:vertAlign w:val="superscript"/>
              </w:rPr>
              <w:t>3</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00F802F5">
              <w:rPr>
                <w:rFonts w:asciiTheme="majorBidi" w:hAnsiTheme="majorBidi" w:cstheme="majorBidi"/>
                <w:sz w:val="22"/>
              </w:rPr>
              <w:instrText>ADDIN CSL_CITATION {"citationItems":[{"id":"ITEM-1","itemData":{"DOI":"10.3390/su12156192","ISSN":"20711050","abstract":"Industrial Symbiosis (IS) is a collaboration between nearby industrial plants to exchange waste material and energy and achieve economic and environmental benefits that cannot be obtained individually. IS emergence in a cluster requires both technical potentials for material and energy exchange and social readiness for collaboration. In this paper, to gain insight into IS dynamics in emerging industrial clusters; we investigate shared concepts governing actors’ behavior in the form of rules and regulations, and social norms and practices. We implemented the IS dynamics framework to reveal which dynamics are supported either by the legislation or actors’ preferences. The Persian Gulf Mining and Metal Industries Special Economic Zone in Iran is used as a case study. The case study revealed that previous successful collaborations in the cluster were often self-organized, but stakeholders preferred to initiate new IS collaborations if financial incentives and infrastructure are provided. Meanwhile, the institutional analysis showed that institutional arrangements (e.g., pricing and penalties) are not in favor of IS emergence. Even though stakeholders might engage in self-organized IS because of inherent problems such as resource scarcity, the lack of clear and effective institutions could hinder IS. This understanding can help both the government and stakeholders in their strategies for future collaborations under different economic and environmental policies.","author":[{"dropping-particle":"","family":"Noori","given":"Shiva","non-dropping-particle":"","parse-names":false,"suffix":""},{"dropping-particle":"","family":"Korevaar","given":"Gijsbert","non-dropping-particle":"","parse-names":false,"suffix":""},{"dropping-particle":"","family":"Ramirez Ramirez","given":"Andrea","non-dropping-particle":"","parse-names":false,"suffix":""}],"container-title":"Sustainability","id":"ITEM-1","issue":"15","issued":{"date-parts":[["2020"]]},"page":"6192","title":"Institutional Lens upon Industrial Symbiosis Dynamics: The case of Persian Gulf Mining and Metal Industries Special Economic Zone","type":"article-journal","volume":"12"},"uris":["http://www.mendeley.com/documents/?uuid=b9bff09f-1659-457c-888f-a92cab24b732"]}],"mendeley":{"formattedCitation":"(Noori et al., 2020)","plainTextFormattedCitation":"(Noori et al., 2020)","previouslyFormattedCitation":"(S. Noori et al., 2020)"},"properties":{"noteIndex":0},"schema":"https://github.com/citation-style-language/schema/raw/master/csl-citation.json"}</w:instrText>
            </w:r>
            <w:r w:rsidRPr="00F802F5">
              <w:rPr>
                <w:rFonts w:asciiTheme="majorBidi" w:hAnsiTheme="majorBidi" w:cstheme="majorBidi"/>
                <w:sz w:val="22"/>
              </w:rPr>
              <w:fldChar w:fldCharType="separate"/>
            </w:r>
            <w:r w:rsidR="00F802F5" w:rsidRPr="00F802F5">
              <w:rPr>
                <w:rFonts w:asciiTheme="majorBidi" w:hAnsiTheme="majorBidi" w:cstheme="majorBidi"/>
                <w:noProof/>
                <w:sz w:val="22"/>
              </w:rPr>
              <w:t>(Noori et al., 2020)</w:t>
            </w:r>
            <w:r w:rsidRPr="00F802F5">
              <w:rPr>
                <w:rFonts w:asciiTheme="majorBidi" w:hAnsiTheme="majorBidi" w:cstheme="majorBidi"/>
                <w:sz w:val="22"/>
              </w:rPr>
              <w:fldChar w:fldCharType="end"/>
            </w:r>
          </w:p>
        </w:tc>
      </w:tr>
      <w:tr w:rsidR="00A74481" w:rsidRPr="00F802F5" w:rsidTr="00E72813">
        <w:trPr>
          <w:cantSplit/>
        </w:trPr>
        <w:tc>
          <w:tcPr>
            <w:tcW w:w="207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Pellet</w:t>
            </w:r>
          </w:p>
        </w:tc>
        <w:tc>
          <w:tcPr>
            <w:tcW w:w="90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100.0</w:t>
            </w:r>
          </w:p>
        </w:tc>
        <w:tc>
          <w:tcPr>
            <w:tcW w:w="108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Pr="00F802F5">
              <w:rPr>
                <w:rFonts w:asciiTheme="majorBidi" w:hAnsiTheme="majorBidi" w:cstheme="majorBidi"/>
                <w:sz w:val="22"/>
              </w:rPr>
              <w:instrText>ADDIN CSL_CITATION {"citationItems":[{"id":"ITEM-1","itemData":{"DOI":"10.1016/j.jclepro.2018.08.279","ISSN":"09596526","abstract":"Climate policy objectives require zero emissions across all sectors including steelmaking. The fundamental process changes needed for reaching this target are yet relatively unexplored. In this paper, we propose and assess a potential design for a fossil-free steelmaking process based on direct reduction of iron ore with hydrogen. We show that hydrogen direct reduction steelmaking needs 3.48 MWh of electricity per tonne of liquid steel, mainly for the electrolyser hydrogen production. If renewable electricity is used the process will have essentially zero emissions. Total production costs are in the range of 361–640 EUR per tonne of steel, and are highly sensitive to the electricity price and the amount of scrap used. Hydrogen direct reduction becomes cost competitive with an integrated steel plant at a carbon price of 34–68 EUR per tonne CO2 and electricity costs of 40 EUR/MWh. A key feature of the process is flexibility in production and electricity demand, which allows for grid balancing through storage of hydrogen and hot-briquetted iron, or variations in the share of scrap used.","author":[{"dropping-particle":"","family":"Vogl","given":"Valentin","non-dropping-particle":"","parse-names":false,"suffix":""},{"dropping-particle":"","family":"Åhman","given":"Max","non-dropping-particle":"","parse-names":false,"suffix":""},{"dropping-particle":"","family":"Nilsson","given":"Lars J.","non-dropping-particle":"","parse-names":false,"suffix":""}],"container-title":"Journal of Cleaner Production","id":"ITEM-1","issued":{"date-parts":[["2018"]]},"number-of-pages":"736-745","publisher":"Elsevier Ltd","title":"Assessment of hydrogen direct reduction for fossil-free steelmaking","type":"report","volume":"203"},"uris":["http://www.mendeley.com/documents/?uuid=f62e40ed-101f-438a-a379-d035d2a09f36"]}],"mendeley":{"formattedCitation":"(Vogl, Åhman, &amp; Nilsson, 2018)","plainTextFormattedCitation":"(Vogl, Åhman, &amp; Nilsson, 2018)","previouslyFormattedCitation":"(Vogl, Åhman, &amp; Nilsson, 2018)"},"properties":{"noteIndex":0},"schema":"https://github.com/citation-style-language/schema/raw/master/csl-citation.json"}</w:instrText>
            </w:r>
            <w:r w:rsidRPr="00F802F5">
              <w:rPr>
                <w:rFonts w:asciiTheme="majorBidi" w:hAnsiTheme="majorBidi" w:cstheme="majorBidi"/>
                <w:sz w:val="22"/>
              </w:rPr>
              <w:fldChar w:fldCharType="separate"/>
            </w:r>
            <w:r w:rsidRPr="00F802F5">
              <w:rPr>
                <w:rFonts w:asciiTheme="majorBidi" w:hAnsiTheme="majorBidi" w:cstheme="majorBidi"/>
                <w:noProof/>
                <w:sz w:val="22"/>
              </w:rPr>
              <w:t>(Vogl, Åhman, &amp; Nilsson, 2018)</w:t>
            </w:r>
            <w:r w:rsidRPr="00F802F5">
              <w:rPr>
                <w:rFonts w:asciiTheme="majorBidi" w:hAnsiTheme="majorBidi" w:cstheme="majorBidi"/>
                <w:sz w:val="22"/>
              </w:rPr>
              <w:fldChar w:fldCharType="end"/>
            </w:r>
          </w:p>
        </w:tc>
      </w:tr>
      <w:tr w:rsidR="00A74481" w:rsidRPr="00F802F5" w:rsidTr="00E72813">
        <w:trPr>
          <w:cantSplit/>
        </w:trPr>
        <w:tc>
          <w:tcPr>
            <w:tcW w:w="207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DRI</w:t>
            </w:r>
          </w:p>
        </w:tc>
        <w:tc>
          <w:tcPr>
            <w:tcW w:w="90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215.0</w:t>
            </w:r>
          </w:p>
        </w:tc>
        <w:tc>
          <w:tcPr>
            <w:tcW w:w="108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Pr="00F802F5">
              <w:rPr>
                <w:rFonts w:asciiTheme="majorBidi" w:hAnsiTheme="majorBidi" w:cstheme="majorBidi"/>
                <w:sz w:val="22"/>
              </w:rPr>
              <w:instrText>ADDIN CSL_CITATION {"citationItems":[{"id":"ITEM-1","itemData":{"URL":"https://www.steelonthenet.com/files/dri.html","accessed":{"date-parts":[["2020","9","2"]]},"author":[{"dropping-particle":"","family":"Steelonthenet","given":"","non-dropping-particle":"","parse-names":false,"suffix":""}],"id":"ITEM-1","issued":{"date-parts":[["2020"]]},"title":"DRI prices: India, direct reduced iron dollars per tonne","type":"webpage"},"uris":["http://www.mendeley.com/documents/?uuid=f4ab0afa-9344-3254-8543-1301c64e3fed"]}],"mendeley":{"formattedCitation":"(Steelonthenet, 2020a)","plainTextFormattedCitation":"(Steelonthenet, 2020a)","previouslyFormattedCitation":"(Steelonthenet, 2020a)"},"properties":{"noteIndex":0},"schema":"https://github.com/citation-style-language/schema/raw/master/csl-citation.json"}</w:instrText>
            </w:r>
            <w:r w:rsidRPr="00F802F5">
              <w:rPr>
                <w:rFonts w:asciiTheme="majorBidi" w:hAnsiTheme="majorBidi" w:cstheme="majorBidi"/>
                <w:sz w:val="22"/>
              </w:rPr>
              <w:fldChar w:fldCharType="separate"/>
            </w:r>
            <w:r w:rsidRPr="00F802F5">
              <w:rPr>
                <w:rFonts w:asciiTheme="majorBidi" w:hAnsiTheme="majorBidi" w:cstheme="majorBidi"/>
                <w:noProof/>
                <w:sz w:val="22"/>
              </w:rPr>
              <w:t>(Steelonthenet, 2020a)</w:t>
            </w:r>
            <w:r w:rsidRPr="00F802F5">
              <w:rPr>
                <w:rFonts w:asciiTheme="majorBidi" w:hAnsiTheme="majorBidi" w:cstheme="majorBidi"/>
                <w:sz w:val="22"/>
              </w:rPr>
              <w:fldChar w:fldCharType="end"/>
            </w:r>
          </w:p>
        </w:tc>
      </w:tr>
      <w:tr w:rsidR="00A74481" w:rsidRPr="00F802F5" w:rsidTr="00E72813">
        <w:trPr>
          <w:cantSplit/>
        </w:trPr>
        <w:tc>
          <w:tcPr>
            <w:tcW w:w="207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 xml:space="preserve">Lime </w:t>
            </w:r>
          </w:p>
        </w:tc>
        <w:tc>
          <w:tcPr>
            <w:tcW w:w="90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120.0</w:t>
            </w:r>
          </w:p>
        </w:tc>
        <w:tc>
          <w:tcPr>
            <w:tcW w:w="108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Pr="00F802F5">
              <w:rPr>
                <w:rFonts w:asciiTheme="majorBidi" w:hAnsiTheme="majorBidi" w:cstheme="majorBidi"/>
                <w:sz w:val="22"/>
              </w:rPr>
              <w:instrText>ADDIN CSL_CITATION {"citationItems":[{"id":"ITEM-1","itemData":{"URL":"https://www.steelonthenet.com/cost-eaf.html","accessed":{"date-parts":[["2020","9","2"]]},"author":[{"dropping-particle":"","family":"Steelonthenet","given":"","non-dropping-particle":"","parse-names":false,"suffix":""}],"id":"ITEM-1","issued":{"date-parts":[["2020"]]},"title":"Electric arc furnace steelmaking costs 2020","type":"webpage"},"uris":["http://www.mendeley.com/documents/?uuid=863416b9-cc9a-3fbe-b6bd-d90c9a6b8b22"]}],"mendeley":{"formattedCitation":"(Steelonthenet, 2020b)","plainTextFormattedCitation":"(Steelonthenet, 2020b)","previouslyFormattedCitation":"(Steelonthenet, 2020b)"},"properties":{"noteIndex":0},"schema":"https://github.com/citation-style-language/schema/raw/master/csl-citation.json"}</w:instrText>
            </w:r>
            <w:r w:rsidRPr="00F802F5">
              <w:rPr>
                <w:rFonts w:asciiTheme="majorBidi" w:hAnsiTheme="majorBidi" w:cstheme="majorBidi"/>
                <w:sz w:val="22"/>
              </w:rPr>
              <w:fldChar w:fldCharType="separate"/>
            </w:r>
            <w:r w:rsidRPr="00F802F5">
              <w:rPr>
                <w:rFonts w:asciiTheme="majorBidi" w:hAnsiTheme="majorBidi" w:cstheme="majorBidi"/>
                <w:noProof/>
                <w:sz w:val="22"/>
              </w:rPr>
              <w:t>(Steelonthenet, 2020b)</w:t>
            </w:r>
            <w:r w:rsidRPr="00F802F5">
              <w:rPr>
                <w:rFonts w:asciiTheme="majorBidi" w:hAnsiTheme="majorBidi" w:cstheme="majorBidi"/>
                <w:sz w:val="22"/>
              </w:rPr>
              <w:fldChar w:fldCharType="end"/>
            </w:r>
          </w:p>
        </w:tc>
      </w:tr>
      <w:tr w:rsidR="00A74481" w:rsidRPr="00F802F5" w:rsidTr="00E72813">
        <w:trPr>
          <w:cantSplit/>
        </w:trPr>
        <w:tc>
          <w:tcPr>
            <w:tcW w:w="207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Molasses</w:t>
            </w:r>
          </w:p>
        </w:tc>
        <w:tc>
          <w:tcPr>
            <w:tcW w:w="90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100.0</w:t>
            </w:r>
          </w:p>
        </w:tc>
        <w:tc>
          <w:tcPr>
            <w:tcW w:w="108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p>
        </w:tc>
      </w:tr>
      <w:tr w:rsidR="00A74481" w:rsidRPr="00F802F5" w:rsidTr="00E72813">
        <w:trPr>
          <w:cantSplit/>
        </w:trPr>
        <w:tc>
          <w:tcPr>
            <w:tcW w:w="207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Coke</w:t>
            </w:r>
          </w:p>
        </w:tc>
        <w:tc>
          <w:tcPr>
            <w:tcW w:w="90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231.0</w:t>
            </w:r>
          </w:p>
        </w:tc>
        <w:tc>
          <w:tcPr>
            <w:tcW w:w="108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Pr="00F802F5">
              <w:rPr>
                <w:rFonts w:asciiTheme="majorBidi" w:hAnsiTheme="majorBidi" w:cstheme="majorBidi"/>
                <w:sz w:val="22"/>
              </w:rPr>
              <w:instrText>ADDIN CSL_CITATION {"citationItems":[{"id":"ITEM-1","itemData":{"DOI":"0.2790/056120","ISBN":"978-92-79-54854-3","ISSN":"1831-9424","abstract":"Scientific. This report compares estimated production costs from four energy-intensive industries (steel, cement, chemical and non-ferrous metals) in the European Union and some third countries. Production costs have been estimated following a bottom-up approach, i.e. using information at facility level from a representative number of facilities. Costs are broken down to key factors, such as material, labour and energy costs and exclude capital costs (depreciation and interest). Moreover, the energy costs are estimated considering the effect of the state of technologies and the fuel mix in each country. For the iron and steel industry the production costs of hot-rolled coil and wire rod are analysed as representative flat and long products, respectively. The production costs of these products have been estimated for both the integrated route (blast furnace-basic oxygen furnace) and the recycling route (electrical arc furnace).^For the chemical industry, the products analysed are ammonia, methanol, ethylene and propylene; whereas for the non-ferrous metals the analysis is focused on primary aluminium production, copper cathodes and slabs of zinc. Most of the EU28 production costs are ranked (when compared with certain competitor countries) between the 75th percentile and the maximum production cost. These costs are highest in the EU relative to other countries or regions in the case of flat products from the recycling route, ammonia and methanol. For long products -from the recycling route-, flat products -from the integrated route-, ethylene, propylene -refinery grade- and copper anode the EU28 production costs are between the median (the median separates the higher half of the costs from the lower half) and the 75th percentile of all production costs estimated. In the case of cement, the EU28 production cost is quite similar to the value of the median cost.^There are also cases in which the EU28 production costs were among the lowest costs, namely for copper cathode and zinc slabs. It is worth noting that the contribution of energy costs to production costs is the highest in the EU only for methanol and ammonia. For all other products and industries analysed (including methanol and ammonia), other components of the cost (raw materials, labour and others or feedstock) contribute more to final costs than energy (natural gas is considered as a feedstock for methanol and ammonia). It is also noteworthy that, in most industries and products, the behaviour o…","author":[{"dropping-particle":"","family":"Moya","given":"Jose A","non-dropping-particle":"","parse-names":false,"suffix":""},{"dropping-particle":"","family":"Boulamanti","given":"Aikaterini","non-dropping-particle":"","parse-names":false,"suffix":""}],"id":"ITEM-1","issued":{"date-parts":[["2016"]]},"number-of-pages":"163","title":"Production costs from energy-intensive industries in the EU and third countries.","type":"report"},"uris":["http://www.mendeley.com/documents/?uuid=578fc77e-4f58-43b4-87e7-5675e790b4eb"]}],"mendeley":{"formattedCitation":"(Moya &amp; Boulamanti, 2016)","plainTextFormattedCitation":"(Moya &amp; Boulamanti, 2016)","previouslyFormattedCitation":"(Moya &amp; Boulamanti, 2016)"},"properties":{"noteIndex":0},"schema":"https://github.com/citation-style-language/schema/raw/master/csl-citation.json"}</w:instrText>
            </w:r>
            <w:r w:rsidRPr="00F802F5">
              <w:rPr>
                <w:rFonts w:asciiTheme="majorBidi" w:hAnsiTheme="majorBidi" w:cstheme="majorBidi"/>
                <w:sz w:val="22"/>
              </w:rPr>
              <w:fldChar w:fldCharType="separate"/>
            </w:r>
            <w:r w:rsidRPr="00F802F5">
              <w:rPr>
                <w:rFonts w:asciiTheme="majorBidi" w:hAnsiTheme="majorBidi" w:cstheme="majorBidi"/>
                <w:noProof/>
                <w:sz w:val="22"/>
              </w:rPr>
              <w:t>(Moya &amp; Boulamanti, 2016)</w:t>
            </w:r>
            <w:r w:rsidRPr="00F802F5">
              <w:rPr>
                <w:rFonts w:asciiTheme="majorBidi" w:hAnsiTheme="majorBidi" w:cstheme="majorBidi"/>
                <w:sz w:val="22"/>
              </w:rPr>
              <w:fldChar w:fldCharType="end"/>
            </w:r>
          </w:p>
        </w:tc>
      </w:tr>
      <w:tr w:rsidR="00A74481" w:rsidRPr="00F802F5" w:rsidTr="00E72813">
        <w:trPr>
          <w:cantSplit/>
        </w:trPr>
        <w:tc>
          <w:tcPr>
            <w:tcW w:w="207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scrap</w:t>
            </w:r>
          </w:p>
        </w:tc>
        <w:tc>
          <w:tcPr>
            <w:tcW w:w="90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225.0</w:t>
            </w:r>
          </w:p>
        </w:tc>
        <w:tc>
          <w:tcPr>
            <w:tcW w:w="108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Pr="00F802F5">
              <w:rPr>
                <w:rFonts w:asciiTheme="majorBidi" w:hAnsiTheme="majorBidi" w:cstheme="majorBidi"/>
                <w:sz w:val="22"/>
              </w:rPr>
              <w:instrText>ADDIN CSL_CITATION {"citationItems":[{"id":"ITEM-1","itemData":{"URL":"https://www.lme.com/en-GB/Market-Data/Reports-and-data/Historical-data-for-cash-settled-futures","accessed":{"date-parts":[["2020","9","2"]]},"author":[{"dropping-particle":"","family":"LME","given":"","non-dropping-particle":"","parse-names":false,"suffix":""}],"id":"ITEM-1","issued":{"date-parts":[["2016"]]},"title":"London Metal Exchange: Historical data for cash settled futures","type":"webpage"},"uris":["http://www.mendeley.com/documents/?uuid=1be4c482-b92d-3f64-bb97-90366604e36f"]}],"mendeley":{"formattedCitation":"(LME, 2016)","plainTextFormattedCitation":"(LME, 2016)","previouslyFormattedCitation":"(LME, 2016)"},"properties":{"noteIndex":0},"schema":"https://github.com/citation-style-language/schema/raw/master/csl-citation.json"}</w:instrText>
            </w:r>
            <w:r w:rsidRPr="00F802F5">
              <w:rPr>
                <w:rFonts w:asciiTheme="majorBidi" w:hAnsiTheme="majorBidi" w:cstheme="majorBidi"/>
                <w:sz w:val="22"/>
              </w:rPr>
              <w:fldChar w:fldCharType="separate"/>
            </w:r>
            <w:r w:rsidRPr="00F802F5">
              <w:rPr>
                <w:rFonts w:asciiTheme="majorBidi" w:hAnsiTheme="majorBidi" w:cstheme="majorBidi"/>
                <w:noProof/>
                <w:sz w:val="22"/>
              </w:rPr>
              <w:t>(LME, 2016)</w:t>
            </w:r>
            <w:r w:rsidRPr="00F802F5">
              <w:rPr>
                <w:rFonts w:asciiTheme="majorBidi" w:hAnsiTheme="majorBidi" w:cstheme="majorBidi"/>
                <w:sz w:val="22"/>
              </w:rPr>
              <w:fldChar w:fldCharType="end"/>
            </w:r>
          </w:p>
        </w:tc>
      </w:tr>
      <w:tr w:rsidR="00A74481" w:rsidRPr="00F802F5" w:rsidTr="00E72813">
        <w:trPr>
          <w:cantSplit/>
        </w:trPr>
        <w:tc>
          <w:tcPr>
            <w:tcW w:w="207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Ferroalloys</w:t>
            </w:r>
          </w:p>
        </w:tc>
        <w:tc>
          <w:tcPr>
            <w:tcW w:w="90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920.0</w:t>
            </w:r>
          </w:p>
        </w:tc>
        <w:tc>
          <w:tcPr>
            <w:tcW w:w="108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Pr="00F802F5">
              <w:rPr>
                <w:rFonts w:asciiTheme="majorBidi" w:hAnsiTheme="majorBidi" w:cstheme="majorBidi"/>
                <w:sz w:val="22"/>
              </w:rPr>
              <w:instrText>ADDIN CSL_CITATION {"citationItems":[{"id":"ITEM-1","itemData":{"DOI":"0.2790/056120","ISBN":"978-92-79-54854-3","ISSN":"1831-9424","abstract":"Scientific. This report compares estimated production costs from four energy-intensive industries (steel, cement, chemical and non-ferrous metals) in the European Union and some third countries. Production costs have been estimated following a bottom-up approach, i.e. using information at facility level from a representative number of facilities. Costs are broken down to key factors, such as material, labour and energy costs and exclude capital costs (depreciation and interest). Moreover, the energy costs are estimated considering the effect of the state of technologies and the fuel mix in each country. For the iron and steel industry the production costs of hot-rolled coil and wire rod are analysed as representative flat and long products, respectively. The production costs of these products have been estimated for both the integrated route (blast furnace-basic oxygen furnace) and the recycling route (electrical arc furnace).^For the chemical industry, the products analysed are ammonia, methanol, ethylene and propylene; whereas for the non-ferrous metals the analysis is focused on primary aluminium production, copper cathodes and slabs of zinc. Most of the EU28 production costs are ranked (when compared with certain competitor countries) between the 75th percentile and the maximum production cost. These costs are highest in the EU relative to other countries or regions in the case of flat products from the recycling route, ammonia and methanol. For long products -from the recycling route-, flat products -from the integrated route-, ethylene, propylene -refinery grade- and copper anode the EU28 production costs are between the median (the median separates the higher half of the costs from the lower half) and the 75th percentile of all production costs estimated. In the case of cement, the EU28 production cost is quite similar to the value of the median cost.^There are also cases in which the EU28 production costs were among the lowest costs, namely for copper cathode and zinc slabs. It is worth noting that the contribution of energy costs to production costs is the highest in the EU only for methanol and ammonia. For all other products and industries analysed (including methanol and ammonia), other components of the cost (raw materials, labour and others or feedstock) contribute more to final costs than energy (natural gas is considered as a feedstock for methanol and ammonia). It is also noteworthy that, in most industries and products, the behaviour o…","author":[{"dropping-particle":"","family":"Moya","given":"Jose A","non-dropping-particle":"","parse-names":false,"suffix":""},{"dropping-particle":"","family":"Boulamanti","given":"Aikaterini","non-dropping-particle":"","parse-names":false,"suffix":""}],"id":"ITEM-1","issued":{"date-parts":[["2016"]]},"number-of-pages":"163","title":"Production costs from energy-intensive industries in the EU and third countries.","type":"report"},"uris":["http://www.mendeley.com/documents/?uuid=578fc77e-4f58-43b4-87e7-5675e790b4eb"]}],"mendeley":{"formattedCitation":"(Moya &amp; Boulamanti, 2016)","plainTextFormattedCitation":"(Moya &amp; Boulamanti, 2016)","previouslyFormattedCitation":"(Moya &amp; Boulamanti, 2016)"},"properties":{"noteIndex":0},"schema":"https://github.com/citation-style-language/schema/raw/master/csl-citation.json"}</w:instrText>
            </w:r>
            <w:r w:rsidRPr="00F802F5">
              <w:rPr>
                <w:rFonts w:asciiTheme="majorBidi" w:hAnsiTheme="majorBidi" w:cstheme="majorBidi"/>
                <w:sz w:val="22"/>
              </w:rPr>
              <w:fldChar w:fldCharType="separate"/>
            </w:r>
            <w:r w:rsidRPr="00F802F5">
              <w:rPr>
                <w:rFonts w:asciiTheme="majorBidi" w:hAnsiTheme="majorBidi" w:cstheme="majorBidi"/>
                <w:noProof/>
                <w:sz w:val="22"/>
              </w:rPr>
              <w:t>(Moya &amp; Boulamanti, 2016)</w:t>
            </w:r>
            <w:r w:rsidRPr="00F802F5">
              <w:rPr>
                <w:rFonts w:asciiTheme="majorBidi" w:hAnsiTheme="majorBidi" w:cstheme="majorBidi"/>
                <w:sz w:val="22"/>
              </w:rPr>
              <w:fldChar w:fldCharType="end"/>
            </w:r>
          </w:p>
        </w:tc>
      </w:tr>
      <w:tr w:rsidR="00A74481" w:rsidRPr="00F802F5" w:rsidTr="00E72813">
        <w:trPr>
          <w:cantSplit/>
        </w:trPr>
        <w:tc>
          <w:tcPr>
            <w:tcW w:w="207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Alumina</w:t>
            </w:r>
          </w:p>
        </w:tc>
        <w:tc>
          <w:tcPr>
            <w:tcW w:w="90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279.5</w:t>
            </w:r>
          </w:p>
        </w:tc>
        <w:tc>
          <w:tcPr>
            <w:tcW w:w="108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p>
        </w:tc>
      </w:tr>
      <w:tr w:rsidR="00A74481" w:rsidRPr="00F802F5" w:rsidTr="00E72813">
        <w:trPr>
          <w:cantSplit/>
        </w:trPr>
        <w:tc>
          <w:tcPr>
            <w:tcW w:w="2070" w:type="dxa"/>
            <w:noWrap/>
          </w:tcPr>
          <w:p w:rsidR="00A74481" w:rsidRPr="00F802F5" w:rsidRDefault="00F802F5" w:rsidP="00F802F5">
            <w:pPr>
              <w:spacing w:line="360" w:lineRule="auto"/>
              <w:rPr>
                <w:rFonts w:asciiTheme="majorBidi" w:hAnsiTheme="majorBidi" w:cstheme="majorBidi"/>
                <w:sz w:val="22"/>
              </w:rPr>
            </w:pPr>
            <w:r w:rsidRPr="00F802F5">
              <w:rPr>
                <w:rFonts w:asciiTheme="majorBidi" w:hAnsiTheme="majorBidi" w:cstheme="majorBidi"/>
                <w:sz w:val="22"/>
              </w:rPr>
              <w:t>Aluminum</w:t>
            </w:r>
            <w:r w:rsidR="00A74481" w:rsidRPr="00F802F5">
              <w:rPr>
                <w:rFonts w:asciiTheme="majorBidi" w:hAnsiTheme="majorBidi" w:cstheme="majorBidi"/>
                <w:sz w:val="22"/>
              </w:rPr>
              <w:t xml:space="preserve"> Fluoride</w:t>
            </w:r>
          </w:p>
        </w:tc>
        <w:tc>
          <w:tcPr>
            <w:tcW w:w="90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1025</w:t>
            </w:r>
          </w:p>
        </w:tc>
        <w:tc>
          <w:tcPr>
            <w:tcW w:w="108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p>
        </w:tc>
      </w:tr>
      <w:tr w:rsidR="00A74481" w:rsidRPr="00F802F5" w:rsidTr="00E72813">
        <w:trPr>
          <w:cantSplit/>
        </w:trPr>
        <w:tc>
          <w:tcPr>
            <w:tcW w:w="207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Cryolite</w:t>
            </w:r>
          </w:p>
        </w:tc>
        <w:tc>
          <w:tcPr>
            <w:tcW w:w="90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900</w:t>
            </w:r>
          </w:p>
        </w:tc>
        <w:tc>
          <w:tcPr>
            <w:tcW w:w="108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p>
        </w:tc>
      </w:tr>
      <w:tr w:rsidR="00A74481" w:rsidRPr="00F802F5" w:rsidTr="00E72813">
        <w:trPr>
          <w:cantSplit/>
        </w:trPr>
        <w:tc>
          <w:tcPr>
            <w:tcW w:w="207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Calcined coke</w:t>
            </w:r>
          </w:p>
        </w:tc>
        <w:tc>
          <w:tcPr>
            <w:tcW w:w="90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200</w:t>
            </w:r>
          </w:p>
        </w:tc>
        <w:tc>
          <w:tcPr>
            <w:tcW w:w="108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p>
        </w:tc>
      </w:tr>
      <w:tr w:rsidR="00A74481" w:rsidRPr="00F802F5" w:rsidTr="00E72813">
        <w:trPr>
          <w:cantSplit/>
        </w:trPr>
        <w:tc>
          <w:tcPr>
            <w:tcW w:w="207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Pitch</w:t>
            </w:r>
          </w:p>
        </w:tc>
        <w:tc>
          <w:tcPr>
            <w:tcW w:w="90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200</w:t>
            </w:r>
          </w:p>
        </w:tc>
        <w:tc>
          <w:tcPr>
            <w:tcW w:w="108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p>
        </w:tc>
      </w:tr>
      <w:tr w:rsidR="00A74481" w:rsidRPr="00F802F5" w:rsidTr="00E72813">
        <w:trPr>
          <w:cantSplit/>
        </w:trPr>
        <w:tc>
          <w:tcPr>
            <w:tcW w:w="207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slab</w:t>
            </w:r>
          </w:p>
        </w:tc>
        <w:tc>
          <w:tcPr>
            <w:tcW w:w="90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410</w:t>
            </w:r>
          </w:p>
        </w:tc>
        <w:tc>
          <w:tcPr>
            <w:tcW w:w="108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Pr="00F802F5">
              <w:rPr>
                <w:rFonts w:asciiTheme="majorBidi" w:hAnsiTheme="majorBidi" w:cstheme="majorBidi"/>
                <w:sz w:val="22"/>
              </w:rPr>
              <w:instrText>ADDIN CSL_CITATION {"citationItems":[{"id":"ITEM-1","itemData":{"URL":"https://www.focus-economics.com/commodities/base-metals/steel-europe","accessed":{"date-parts":[["2020","9","2"]]},"id":"ITEM-1","issued":{"date-parts":[["0"]]},"title":"Steel Price (Europe) | Historical Charts, Forecasts, &amp; News","type":"webpage"},"uris":["http://www.mendeley.com/documents/?uuid=93489714-50fe-3546-abee-faf6a38ad447"]}],"mendeley":{"formattedCitation":"(“Steel Price (Europe) | Historical Charts, Forecasts, &amp; News,” n.d.)","manualFormatting":"(“Steel Price (Europe) | Historical Charts, Forecasts, &amp; News,” n.d.)","plainTextFormattedCitation":"(“Steel Price (Europe) | Historical Charts, Forecasts, &amp; News,” n.d.)","previouslyFormattedCitation":"(“Steel Price (Europe) | Historical Charts, Forecasts, &amp; News,” n.d.)"},"properties":{"noteIndex":0},"schema":"https://github.com/citation-style-language/schema/raw/master/csl-citation.json"}</w:instrText>
            </w:r>
            <w:r w:rsidRPr="00F802F5">
              <w:rPr>
                <w:rFonts w:asciiTheme="majorBidi" w:hAnsiTheme="majorBidi" w:cstheme="majorBidi"/>
                <w:sz w:val="22"/>
              </w:rPr>
              <w:fldChar w:fldCharType="separate"/>
            </w:r>
            <w:r w:rsidRPr="00F802F5">
              <w:rPr>
                <w:rFonts w:asciiTheme="majorBidi" w:hAnsiTheme="majorBidi" w:cstheme="majorBidi"/>
                <w:noProof/>
                <w:sz w:val="22"/>
              </w:rPr>
              <w:t>(“Steel Price (Europe) | Historical Charts, Forecasts, &amp; News,” n.d.)</w:t>
            </w:r>
            <w:r w:rsidRPr="00F802F5">
              <w:rPr>
                <w:rFonts w:asciiTheme="majorBidi" w:hAnsiTheme="majorBidi" w:cstheme="majorBidi"/>
                <w:sz w:val="22"/>
              </w:rPr>
              <w:fldChar w:fldCharType="end"/>
            </w:r>
          </w:p>
        </w:tc>
      </w:tr>
      <w:tr w:rsidR="00A74481" w:rsidRPr="00F802F5" w:rsidTr="00E72813">
        <w:trPr>
          <w:cantSplit/>
        </w:trPr>
        <w:tc>
          <w:tcPr>
            <w:tcW w:w="2070" w:type="dxa"/>
            <w:noWrap/>
          </w:tcPr>
          <w:p w:rsidR="00A74481" w:rsidRPr="00F802F5" w:rsidRDefault="00F802F5" w:rsidP="00F802F5">
            <w:pPr>
              <w:spacing w:line="360" w:lineRule="auto"/>
              <w:rPr>
                <w:rFonts w:asciiTheme="majorBidi" w:hAnsiTheme="majorBidi" w:cstheme="majorBidi"/>
                <w:sz w:val="22"/>
              </w:rPr>
            </w:pPr>
            <w:r w:rsidRPr="00F802F5">
              <w:rPr>
                <w:rFonts w:asciiTheme="majorBidi" w:hAnsiTheme="majorBidi" w:cstheme="majorBidi"/>
                <w:sz w:val="22"/>
              </w:rPr>
              <w:t>Aluminum</w:t>
            </w:r>
          </w:p>
        </w:tc>
        <w:tc>
          <w:tcPr>
            <w:tcW w:w="90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1440</w:t>
            </w:r>
          </w:p>
        </w:tc>
        <w:tc>
          <w:tcPr>
            <w:tcW w:w="108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p>
        </w:tc>
      </w:tr>
      <w:tr w:rsidR="00A74481" w:rsidRPr="00F802F5" w:rsidTr="00E72813">
        <w:trPr>
          <w:cantSplit/>
        </w:trPr>
        <w:tc>
          <w:tcPr>
            <w:tcW w:w="207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CBI</w:t>
            </w:r>
          </w:p>
        </w:tc>
        <w:tc>
          <w:tcPr>
            <w:tcW w:w="90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280</w:t>
            </w:r>
          </w:p>
        </w:tc>
        <w:tc>
          <w:tcPr>
            <w:tcW w:w="108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Pr="00F802F5">
              <w:rPr>
                <w:rFonts w:asciiTheme="majorBidi" w:hAnsiTheme="majorBidi" w:cstheme="majorBidi"/>
                <w:sz w:val="22"/>
              </w:rPr>
              <w:instrText>ADDIN CSL_CITATION {"citationItems":[{"id":"ITEM-1","itemData":{"abstract":"Fine and ultrafine iron ores have always been a challenging raw material to use in the blast furnace as well as in alternative ironmaking processes. Despite of having superior iron content than lumpy ores, their handling is very difficult. Traditional techniques like sintering and pelletizing have certain limitations in terms of particle size of fine ores as well as a maximum limit to use them in the process in order to maintain optimal process efficiency. In addition, sintering, pelletizing and fluidized bed reduction techniques are highly CAPEX intensive and the operational costs are also higher. The present work describes the possibility of cold-briquetting of fine iron ore to produce DRI (Direct Reduced IRON) in several cost-effective ways using certain novel technologies developed during the last decade. Three possibilities of coal-based solid-state reduction of briquetted fine ore are discussed. The first one is still in laboratory scale and it employs production of self-reducing briquettes for direct reduction. The second one is in semi pilot-scale and uses coal pyrolysis to reduce briquettes. The third one - RECYRON® - is a patent-pending technology which has been developed in Austria. RECYRON® is a highly flexible process to utilize fine ore as well as all possible iron ore and carbon containing wastes to produce DRI. A comparative description of these three processes demonstrates the advantages of cold briquetting of iron ore fines to be used as a suitable raw material for ironmaking","author":[{"dropping-particle":"","family":"Bhattacharyya","given":"Anrin","non-dropping-particle":"","parse-names":false,"suffix":""},{"dropping-particle":"","family":"Biswas","given":"Chanchal","non-dropping-particle":"","parse-names":false,"suffix":""},{"dropping-particle":"","family":"Rajib","given":"Dey","non-dropping-particle":"","parse-names":false,"suffix":""}],"container-title":"Iron Ore Conference","id":"ITEM-1","issue":"July","issued":{"date-parts":[["2019"]]},"page":"62-67","publisher-place":"Perth","title":"Cold briquetting of iron ore fines for DRI production : challenges , possibilities and solutions","type":"paper-conference"},"uris":["http://www.mendeley.com/documents/?uuid=69b3e1eb-5a2e-4ea6-bab6-6d67813096f7"]}],"mendeley":{"formattedCitation":"(Bhattacharyya, Biswas, &amp; Rajib, 2019)","plainTextFormattedCitation":"(Bhattacharyya, Biswas, &amp; Rajib, 2019)","previouslyFormattedCitation":"(Bhattacharyya, Biswas, &amp; Rajib, 2019)"},"properties":{"noteIndex":0},"schema":"https://github.com/citation-style-language/schema/raw/master/csl-citation.json"}</w:instrText>
            </w:r>
            <w:r w:rsidRPr="00F802F5">
              <w:rPr>
                <w:rFonts w:asciiTheme="majorBidi" w:hAnsiTheme="majorBidi" w:cstheme="majorBidi"/>
                <w:sz w:val="22"/>
              </w:rPr>
              <w:fldChar w:fldCharType="separate"/>
            </w:r>
            <w:r w:rsidRPr="00F802F5">
              <w:rPr>
                <w:rFonts w:asciiTheme="majorBidi" w:hAnsiTheme="majorBidi" w:cstheme="majorBidi"/>
                <w:noProof/>
                <w:sz w:val="22"/>
              </w:rPr>
              <w:t>(Bhattacharyya, Biswas, &amp; Rajib, 2019)</w:t>
            </w:r>
            <w:r w:rsidRPr="00F802F5">
              <w:rPr>
                <w:rFonts w:asciiTheme="majorBidi" w:hAnsiTheme="majorBidi" w:cstheme="majorBidi"/>
                <w:sz w:val="22"/>
              </w:rPr>
              <w:fldChar w:fldCharType="end"/>
            </w:r>
          </w:p>
        </w:tc>
      </w:tr>
      <w:tr w:rsidR="00A74481" w:rsidRPr="00F802F5" w:rsidTr="00E72813">
        <w:trPr>
          <w:cantSplit/>
        </w:trPr>
        <w:tc>
          <w:tcPr>
            <w:tcW w:w="207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SMP variable cost</w:t>
            </w:r>
          </w:p>
        </w:tc>
        <w:tc>
          <w:tcPr>
            <w:tcW w:w="90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66.5</w:t>
            </w:r>
          </w:p>
        </w:tc>
        <w:tc>
          <w:tcPr>
            <w:tcW w:w="108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Pr="00F802F5">
              <w:rPr>
                <w:rFonts w:asciiTheme="majorBidi" w:hAnsiTheme="majorBidi" w:cstheme="majorBidi"/>
                <w:sz w:val="22"/>
              </w:rPr>
              <w:instrText>ADDIN CSL_CITATION {"citationItems":[{"id":"ITEM-1","itemData":{"DOI":"10.1016/j.jclepro.2018.08.279","ISSN":"09596526","abstract":"Climate policy objectives require zero emissions across all sectors including steelmaking. The fundamental process changes needed for reaching this target are yet relatively unexplored. In this paper, we propose and assess a potential design for a fossil-free steelmaking process based on direct reduction of iron ore with hydrogen. We show that hydrogen direct reduction steelmaking needs 3.48 MWh of electricity per tonne of liquid steel, mainly for the electrolyser hydrogen production. If renewable electricity is used the process will have essentially zero emissions. Total production costs are in the range of 361–640 EUR per tonne of steel, and are highly sensitive to the electricity price and the amount of scrap used. Hydrogen direct reduction becomes cost competitive with an integrated steel plant at a carbon price of 34–68 EUR per tonne CO2 and electricity costs of 40 EUR/MWh. A key feature of the process is flexibility in production and electricity demand, which allows for grid balancing through storage of hydrogen and hot-briquetted iron, or variations in the share of scrap used.","author":[{"dropping-particle":"","family":"Vogl","given":"Valentin","non-dropping-particle":"","parse-names":false,"suffix":""},{"dropping-particle":"","family":"Åhman","given":"Max","non-dropping-particle":"","parse-names":false,"suffix":""},{"dropping-particle":"","family":"Nilsson","given":"Lars J.","non-dropping-particle":"","parse-names":false,"suffix":""}],"container-title":"Journal of Cleaner Production","id":"ITEM-1","issued":{"date-parts":[["2018"]]},"number-of-pages":"736-745","publisher":"Elsevier Ltd","title":"Assessment of hydrogen direct reduction for fossil-free steelmaking","type":"report","volume":"203"},"uris":["http://www.mendeley.com/documents/?uuid=f62e40ed-101f-438a-a379-d035d2a09f36"]}],"mendeley":{"formattedCitation":"(Vogl et al., 2018)","plainTextFormattedCitation":"(Vogl et al., 2018)","previouslyFormattedCitation":"(Vogl et al., 2018)"},"properties":{"noteIndex":0},"schema":"https://github.com/citation-style-language/schema/raw/master/csl-citation.json"}</w:instrText>
            </w:r>
            <w:r w:rsidRPr="00F802F5">
              <w:rPr>
                <w:rFonts w:asciiTheme="majorBidi" w:hAnsiTheme="majorBidi" w:cstheme="majorBidi"/>
                <w:sz w:val="22"/>
              </w:rPr>
              <w:fldChar w:fldCharType="separate"/>
            </w:r>
            <w:r w:rsidRPr="00F802F5">
              <w:rPr>
                <w:rFonts w:asciiTheme="majorBidi" w:hAnsiTheme="majorBidi" w:cstheme="majorBidi"/>
                <w:noProof/>
                <w:sz w:val="22"/>
              </w:rPr>
              <w:t>(Vogl et al., 2018)</w:t>
            </w:r>
            <w:r w:rsidRPr="00F802F5">
              <w:rPr>
                <w:rFonts w:asciiTheme="majorBidi" w:hAnsiTheme="majorBidi" w:cstheme="majorBidi"/>
                <w:sz w:val="22"/>
              </w:rPr>
              <w:fldChar w:fldCharType="end"/>
            </w:r>
          </w:p>
        </w:tc>
      </w:tr>
      <w:tr w:rsidR="00A74481" w:rsidRPr="00F802F5" w:rsidTr="00E72813">
        <w:trPr>
          <w:cantSplit/>
        </w:trPr>
        <w:tc>
          <w:tcPr>
            <w:tcW w:w="207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DRP variable cost</w:t>
            </w:r>
          </w:p>
        </w:tc>
        <w:tc>
          <w:tcPr>
            <w:tcW w:w="90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27.5</w:t>
            </w:r>
          </w:p>
        </w:tc>
        <w:tc>
          <w:tcPr>
            <w:tcW w:w="1080" w:type="dxa"/>
            <w:noWrap/>
            <w:hideMark/>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Pr="00F802F5">
              <w:rPr>
                <w:rFonts w:asciiTheme="majorBidi" w:hAnsiTheme="majorBidi" w:cstheme="majorBidi"/>
                <w:sz w:val="22"/>
              </w:rPr>
              <w:instrText>ADDIN CSL_CITATION {"citationItems":[{"id":"ITEM-1","itemData":{"author":[{"dropping-particle":"","family":"IEAGHG","given":"","non-dropping-particle":"","parse-names":false,"suffix":""}],"id":"ITEM-1","issued":{"date-parts":[["2013"]]},"number-of-pages":"642","title":"Iron and Steel CCS Study (Techno-Economics Integrated Steel Mill)","type":"report"},"uris":["http://www.mendeley.com/documents/?uuid=3056ef53-178f-46df-8f0f-6014c29c0608"]},{"id":"ITEM-2","itemData":{"DOI":"10.1016/j.jclepro.2018.08.279","ISSN":"09596526","abstract":"Climate policy objectives require zero emissions across all sectors including steelmaking. The fundamental process changes needed for reaching this target are yet relatively unexplored. In this paper, we propose and assess a potential design for a fossil-free steelmaking process based on direct reduction of iron ore with hydrogen. We show that hydrogen direct reduction steelmaking needs 3.48 MWh of electricity per tonne of liquid steel, mainly for the electrolyser hydrogen production. If renewable electricity is used the process will have essentially zero emissions. Total production costs are in the range of 361–640 EUR per tonne of steel, and are highly sensitive to the electricity price and the amount of scrap used. Hydrogen direct reduction becomes cost competitive with an integrated steel plant at a carbon price of 34–68 EUR per tonne CO2 and electricity costs of 40 EUR/MWh. A key feature of the process is flexibility in production and electricity demand, which allows for grid balancing through storage of hydrogen and hot-briquetted iron, or variations in the share of scrap used.","author":[{"dropping-particle":"","family":"Vogl","given":"Valentin","non-dropping-particle":"","parse-names":false,"suffix":""},{"dropping-particle":"","family":"Åhman","given":"Max","non-dropping-particle":"","parse-names":false,"suffix":""},{"dropping-particle":"","family":"Nilsson","given":"Lars J.","non-dropping-particle":"","parse-names":false,"suffix":""}],"container-title":"Journal of Cleaner Production","id":"ITEM-2","issued":{"date-parts":[["2018"]]},"number-of-pages":"736-745","publisher":"Elsevier Ltd","title":"Assessment of hydrogen direct reduction for fossil-free steelmaking","type":"report","volume":"203"},"uris":["http://www.mendeley.com/documents/?uuid=f62e40ed-101f-438a-a379-d035d2a09f36"]}],"mendeley":{"formattedCitation":"(IEAGHG, 2013; Vogl et al., 2018)","plainTextFormattedCitation":"(IEAGHG, 2013; Vogl et al., 2018)","previouslyFormattedCitation":"(IEAGHG, 2013; Vogl et al., 2018)"},"properties":{"noteIndex":0},"schema":"https://github.com/citation-style-language/schema/raw/master/csl-citation.json"}</w:instrText>
            </w:r>
            <w:r w:rsidRPr="00F802F5">
              <w:rPr>
                <w:rFonts w:asciiTheme="majorBidi" w:hAnsiTheme="majorBidi" w:cstheme="majorBidi"/>
                <w:sz w:val="22"/>
              </w:rPr>
              <w:fldChar w:fldCharType="separate"/>
            </w:r>
            <w:r w:rsidRPr="00F802F5">
              <w:rPr>
                <w:rFonts w:asciiTheme="majorBidi" w:hAnsiTheme="majorBidi" w:cstheme="majorBidi"/>
                <w:noProof/>
                <w:sz w:val="22"/>
              </w:rPr>
              <w:t>(IEAGHG, 2013; Vogl et al., 2018)</w:t>
            </w:r>
            <w:r w:rsidRPr="00F802F5">
              <w:rPr>
                <w:rFonts w:asciiTheme="majorBidi" w:hAnsiTheme="majorBidi" w:cstheme="majorBidi"/>
                <w:sz w:val="22"/>
              </w:rPr>
              <w:fldChar w:fldCharType="end"/>
            </w:r>
          </w:p>
        </w:tc>
      </w:tr>
      <w:tr w:rsidR="00A74481" w:rsidRPr="00F802F5" w:rsidTr="00E72813">
        <w:trPr>
          <w:cantSplit/>
        </w:trPr>
        <w:tc>
          <w:tcPr>
            <w:tcW w:w="207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ARP variable cost</w:t>
            </w:r>
          </w:p>
        </w:tc>
        <w:tc>
          <w:tcPr>
            <w:tcW w:w="90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200</w:t>
            </w:r>
          </w:p>
        </w:tc>
        <w:tc>
          <w:tcPr>
            <w:tcW w:w="108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t>€/</w:t>
            </w:r>
            <w:r w:rsidR="000414CA">
              <w:rPr>
                <w:rFonts w:asciiTheme="majorBidi" w:hAnsiTheme="majorBidi" w:cstheme="majorBidi"/>
                <w:sz w:val="22"/>
              </w:rPr>
              <w:t>tone</w:t>
            </w:r>
          </w:p>
        </w:tc>
        <w:tc>
          <w:tcPr>
            <w:tcW w:w="5310" w:type="dxa"/>
            <w:noWrap/>
          </w:tcPr>
          <w:p w:rsidR="00A74481" w:rsidRPr="00F802F5" w:rsidRDefault="00A74481" w:rsidP="00F802F5">
            <w:pPr>
              <w:spacing w:line="360" w:lineRule="auto"/>
              <w:rPr>
                <w:rFonts w:asciiTheme="majorBidi" w:hAnsiTheme="majorBidi" w:cstheme="majorBidi"/>
                <w:sz w:val="22"/>
              </w:rPr>
            </w:pPr>
            <w:r w:rsidRPr="00F802F5">
              <w:rPr>
                <w:rFonts w:asciiTheme="majorBidi" w:hAnsiTheme="majorBidi" w:cstheme="majorBidi"/>
                <w:sz w:val="22"/>
              </w:rPr>
              <w:fldChar w:fldCharType="begin" w:fldLock="1"/>
            </w:r>
            <w:r w:rsidRPr="00F802F5">
              <w:rPr>
                <w:rFonts w:asciiTheme="majorBidi" w:hAnsiTheme="majorBidi" w:cstheme="majorBidi"/>
                <w:sz w:val="22"/>
              </w:rPr>
              <w:instrText>ADDIN CSL_CITATION {"citationItems":[{"id":"ITEM-1","itemData":{"author":[{"dropping-particle":"","family":"Rosenberg","given":"Eva","non-dropping-particle":"","parse-names":false,"suffix":""}],"id":"ITEM-1","issue":"March","issued":{"date-parts":[["2012"]]},"number-of-pages":"1-5","title":"Energy Technology Systems Analysis Programme: Aluminium Production","type":"report"},"uris":["http://www.mendeley.com/documents/?uuid=66c2640d-f193-33ee-8bae-ca84f2182360"]}],"mendeley":{"formattedCitation":"(Rosenberg, 2012)","plainTextFormattedCitation":"(Rosenberg, 2012)","previouslyFormattedCitation":"(Rosenberg, 2012)"},"properties":{"noteIndex":0},"schema":"https://github.com/citation-style-language/schema/raw/master/csl-citation.json"}</w:instrText>
            </w:r>
            <w:r w:rsidRPr="00F802F5">
              <w:rPr>
                <w:rFonts w:asciiTheme="majorBidi" w:hAnsiTheme="majorBidi" w:cstheme="majorBidi"/>
                <w:sz w:val="22"/>
              </w:rPr>
              <w:fldChar w:fldCharType="separate"/>
            </w:r>
            <w:r w:rsidRPr="00F802F5">
              <w:rPr>
                <w:rFonts w:asciiTheme="majorBidi" w:hAnsiTheme="majorBidi" w:cstheme="majorBidi"/>
                <w:noProof/>
                <w:sz w:val="22"/>
              </w:rPr>
              <w:t>(Rosenberg, 2012)</w:t>
            </w:r>
            <w:r w:rsidRPr="00F802F5">
              <w:rPr>
                <w:rFonts w:asciiTheme="majorBidi" w:hAnsiTheme="majorBidi" w:cstheme="majorBidi"/>
                <w:sz w:val="22"/>
              </w:rPr>
              <w:fldChar w:fldCharType="end"/>
            </w:r>
          </w:p>
        </w:tc>
      </w:tr>
    </w:tbl>
    <w:p w:rsidR="005053C2" w:rsidRDefault="005053C2" w:rsidP="005053C2">
      <w:pPr>
        <w:pStyle w:val="JIEreferencelist"/>
        <w:ind w:left="0" w:firstLine="0"/>
        <w:rPr>
          <w:i/>
        </w:rPr>
      </w:pPr>
    </w:p>
    <w:p w:rsidR="005053C2" w:rsidRDefault="00F802F5" w:rsidP="00F802F5">
      <w:pPr>
        <w:pStyle w:val="Heading1"/>
      </w:pPr>
      <w:r>
        <w:t>References</w:t>
      </w:r>
    </w:p>
    <w:p w:rsidR="00F802F5" w:rsidRPr="00F802F5" w:rsidRDefault="00F802F5" w:rsidP="00F802F5">
      <w:pPr>
        <w:widowControl w:val="0"/>
        <w:autoSpaceDE w:val="0"/>
        <w:autoSpaceDN w:val="0"/>
        <w:adjustRightInd w:val="0"/>
        <w:spacing w:line="360" w:lineRule="auto"/>
        <w:ind w:left="480" w:hanging="480"/>
        <w:rPr>
          <w:rFonts w:ascii="Garamond" w:hAnsi="Garamond"/>
          <w:noProof/>
          <w:szCs w:val="24"/>
        </w:rPr>
      </w:pPr>
      <w:r>
        <w:rPr>
          <w:i/>
        </w:rPr>
        <w:fldChar w:fldCharType="begin" w:fldLock="1"/>
      </w:r>
      <w:r>
        <w:rPr>
          <w:i/>
        </w:rPr>
        <w:instrText xml:space="preserve">ADDIN Mendeley Bibliography CSL_BIBLIOGRAPHY </w:instrText>
      </w:r>
      <w:r>
        <w:rPr>
          <w:i/>
        </w:rPr>
        <w:fldChar w:fldCharType="separate"/>
      </w:r>
      <w:r w:rsidRPr="00F802F5">
        <w:rPr>
          <w:rFonts w:ascii="Garamond" w:hAnsi="Garamond"/>
          <w:noProof/>
          <w:szCs w:val="24"/>
        </w:rPr>
        <w:t xml:space="preserve">Bhattacharyya, A., Biswas, C., &amp; Rajib, D. (2019). Cold briquetting of iron ore fines for DRI production : challenges , possibilities and solutions. </w:t>
      </w:r>
      <w:r w:rsidRPr="00F802F5">
        <w:rPr>
          <w:rFonts w:ascii="Garamond" w:hAnsi="Garamond"/>
          <w:i/>
          <w:iCs/>
          <w:noProof/>
          <w:szCs w:val="24"/>
        </w:rPr>
        <w:t>Iron Ore Conference</w:t>
      </w:r>
      <w:r w:rsidRPr="00F802F5">
        <w:rPr>
          <w:rFonts w:ascii="Garamond" w:hAnsi="Garamond"/>
          <w:noProof/>
          <w:szCs w:val="24"/>
        </w:rPr>
        <w:t>, (July), 62–67. Perth.</w:t>
      </w:r>
    </w:p>
    <w:p w:rsidR="00F802F5" w:rsidRPr="00F802F5" w:rsidRDefault="00F802F5" w:rsidP="00F802F5">
      <w:pPr>
        <w:widowControl w:val="0"/>
        <w:autoSpaceDE w:val="0"/>
        <w:autoSpaceDN w:val="0"/>
        <w:adjustRightInd w:val="0"/>
        <w:spacing w:line="360" w:lineRule="auto"/>
        <w:ind w:left="480" w:hanging="480"/>
        <w:rPr>
          <w:rFonts w:ascii="Garamond" w:hAnsi="Garamond"/>
          <w:noProof/>
          <w:szCs w:val="24"/>
        </w:rPr>
      </w:pPr>
      <w:r w:rsidRPr="00F802F5">
        <w:rPr>
          <w:rFonts w:ascii="Garamond" w:hAnsi="Garamond"/>
          <w:noProof/>
          <w:szCs w:val="24"/>
        </w:rPr>
        <w:t>Bots, P. (2021). Linny-R. Retrieved November 5, 2020, from https://mod-est.tbm.tudelft.nl/linny-r.html</w:t>
      </w:r>
    </w:p>
    <w:p w:rsidR="00F802F5" w:rsidRPr="00F802F5" w:rsidRDefault="00F802F5" w:rsidP="00F802F5">
      <w:pPr>
        <w:widowControl w:val="0"/>
        <w:autoSpaceDE w:val="0"/>
        <w:autoSpaceDN w:val="0"/>
        <w:adjustRightInd w:val="0"/>
        <w:spacing w:line="360" w:lineRule="auto"/>
        <w:ind w:left="480" w:hanging="480"/>
        <w:rPr>
          <w:rFonts w:ascii="Garamond" w:hAnsi="Garamond"/>
          <w:noProof/>
          <w:szCs w:val="24"/>
        </w:rPr>
      </w:pPr>
      <w:r w:rsidRPr="00F802F5">
        <w:rPr>
          <w:rFonts w:ascii="Garamond" w:hAnsi="Garamond"/>
          <w:noProof/>
          <w:szCs w:val="24"/>
        </w:rPr>
        <w:t xml:space="preserve">IEAGHG. (2013). </w:t>
      </w:r>
      <w:r w:rsidRPr="00F802F5">
        <w:rPr>
          <w:rFonts w:ascii="Garamond" w:hAnsi="Garamond"/>
          <w:i/>
          <w:iCs/>
          <w:noProof/>
          <w:szCs w:val="24"/>
        </w:rPr>
        <w:t>Iron and Steel CCS Study (Techno-Economics Integrated Steel Mill)</w:t>
      </w:r>
      <w:r w:rsidRPr="00F802F5">
        <w:rPr>
          <w:rFonts w:ascii="Garamond" w:hAnsi="Garamond"/>
          <w:noProof/>
          <w:szCs w:val="24"/>
        </w:rPr>
        <w:t>.</w:t>
      </w:r>
    </w:p>
    <w:p w:rsidR="00F802F5" w:rsidRPr="00F802F5" w:rsidRDefault="00F802F5" w:rsidP="00F802F5">
      <w:pPr>
        <w:widowControl w:val="0"/>
        <w:autoSpaceDE w:val="0"/>
        <w:autoSpaceDN w:val="0"/>
        <w:adjustRightInd w:val="0"/>
        <w:spacing w:line="360" w:lineRule="auto"/>
        <w:ind w:left="480" w:hanging="480"/>
        <w:rPr>
          <w:rFonts w:ascii="Garamond" w:hAnsi="Garamond"/>
          <w:noProof/>
          <w:szCs w:val="24"/>
        </w:rPr>
      </w:pPr>
      <w:r w:rsidRPr="00F802F5">
        <w:rPr>
          <w:rFonts w:ascii="Garamond" w:hAnsi="Garamond"/>
          <w:noProof/>
          <w:szCs w:val="24"/>
        </w:rPr>
        <w:t>LME. (2016). London Metal Exchange: Historical data for cash settled futures. Retrieved September 2, 2020, from https://www.lme.com/en-GB/Market-Data/Reports-and-</w:t>
      </w:r>
      <w:r w:rsidRPr="00F802F5">
        <w:rPr>
          <w:rFonts w:ascii="Garamond" w:hAnsi="Garamond"/>
          <w:noProof/>
          <w:szCs w:val="24"/>
        </w:rPr>
        <w:lastRenderedPageBreak/>
        <w:t>data/Historical-data-for-cash-settled-futures</w:t>
      </w:r>
    </w:p>
    <w:p w:rsidR="00F802F5" w:rsidRPr="00F802F5" w:rsidRDefault="00F802F5" w:rsidP="00F802F5">
      <w:pPr>
        <w:widowControl w:val="0"/>
        <w:autoSpaceDE w:val="0"/>
        <w:autoSpaceDN w:val="0"/>
        <w:adjustRightInd w:val="0"/>
        <w:spacing w:line="360" w:lineRule="auto"/>
        <w:ind w:left="480" w:hanging="480"/>
        <w:rPr>
          <w:rFonts w:ascii="Garamond" w:hAnsi="Garamond"/>
          <w:noProof/>
          <w:szCs w:val="24"/>
        </w:rPr>
      </w:pPr>
      <w:r w:rsidRPr="00F802F5">
        <w:rPr>
          <w:rFonts w:ascii="Garamond" w:hAnsi="Garamond"/>
          <w:noProof/>
          <w:szCs w:val="24"/>
        </w:rPr>
        <w:t xml:space="preserve">Moya, J. A., &amp; Boulamanti, A. (2016). </w:t>
      </w:r>
      <w:r w:rsidRPr="00F802F5">
        <w:rPr>
          <w:rFonts w:ascii="Garamond" w:hAnsi="Garamond"/>
          <w:i/>
          <w:iCs/>
          <w:noProof/>
          <w:szCs w:val="24"/>
        </w:rPr>
        <w:t>Production costs from energy-intensive industries in the EU and third countries.</w:t>
      </w:r>
      <w:r w:rsidRPr="00F802F5">
        <w:rPr>
          <w:rFonts w:ascii="Garamond" w:hAnsi="Garamond"/>
          <w:noProof/>
          <w:szCs w:val="24"/>
        </w:rPr>
        <w:t xml:space="preserve"> https://doi.org/0.2790/056120</w:t>
      </w:r>
    </w:p>
    <w:p w:rsidR="00F802F5" w:rsidRPr="00F802F5" w:rsidRDefault="00F802F5" w:rsidP="00F802F5">
      <w:pPr>
        <w:widowControl w:val="0"/>
        <w:autoSpaceDE w:val="0"/>
        <w:autoSpaceDN w:val="0"/>
        <w:adjustRightInd w:val="0"/>
        <w:spacing w:line="360" w:lineRule="auto"/>
        <w:ind w:left="480" w:hanging="480"/>
        <w:rPr>
          <w:rFonts w:ascii="Garamond" w:hAnsi="Garamond"/>
          <w:noProof/>
          <w:szCs w:val="24"/>
        </w:rPr>
      </w:pPr>
      <w:r w:rsidRPr="00F802F5">
        <w:rPr>
          <w:rFonts w:ascii="Garamond" w:hAnsi="Garamond"/>
          <w:noProof/>
          <w:szCs w:val="24"/>
        </w:rPr>
        <w:t xml:space="preserve">Noori, S., Korevaar, G., &amp; Ramirez Ramirez, A. (2020). Institutional Lens upon Industrial Symbiosis Dynamics: The case of Persian Gulf Mining and Metal Industries Special Economic Zone. </w:t>
      </w:r>
      <w:r w:rsidRPr="00F802F5">
        <w:rPr>
          <w:rFonts w:ascii="Garamond" w:hAnsi="Garamond"/>
          <w:i/>
          <w:iCs/>
          <w:noProof/>
          <w:szCs w:val="24"/>
        </w:rPr>
        <w:t>Sustainability</w:t>
      </w:r>
      <w:r w:rsidRPr="00F802F5">
        <w:rPr>
          <w:rFonts w:ascii="Garamond" w:hAnsi="Garamond"/>
          <w:noProof/>
          <w:szCs w:val="24"/>
        </w:rPr>
        <w:t xml:space="preserve">, </w:t>
      </w:r>
      <w:r w:rsidRPr="00F802F5">
        <w:rPr>
          <w:rFonts w:ascii="Garamond" w:hAnsi="Garamond"/>
          <w:i/>
          <w:iCs/>
          <w:noProof/>
          <w:szCs w:val="24"/>
        </w:rPr>
        <w:t>12</w:t>
      </w:r>
      <w:r w:rsidRPr="00F802F5">
        <w:rPr>
          <w:rFonts w:ascii="Garamond" w:hAnsi="Garamond"/>
          <w:noProof/>
          <w:szCs w:val="24"/>
        </w:rPr>
        <w:t>(15), 6192. https://doi.org/10.3390/su12156192</w:t>
      </w:r>
    </w:p>
    <w:p w:rsidR="00F802F5" w:rsidRPr="00F802F5" w:rsidRDefault="00F802F5" w:rsidP="00F802F5">
      <w:pPr>
        <w:widowControl w:val="0"/>
        <w:autoSpaceDE w:val="0"/>
        <w:autoSpaceDN w:val="0"/>
        <w:adjustRightInd w:val="0"/>
        <w:spacing w:line="360" w:lineRule="auto"/>
        <w:ind w:left="480" w:hanging="480"/>
        <w:rPr>
          <w:rFonts w:ascii="Garamond" w:hAnsi="Garamond"/>
          <w:noProof/>
          <w:szCs w:val="24"/>
        </w:rPr>
      </w:pPr>
      <w:r w:rsidRPr="00F802F5">
        <w:rPr>
          <w:rFonts w:ascii="Garamond" w:hAnsi="Garamond"/>
          <w:noProof/>
          <w:szCs w:val="24"/>
        </w:rPr>
        <w:t xml:space="preserve">Rosenberg, E. (2012). </w:t>
      </w:r>
      <w:r w:rsidRPr="00F802F5">
        <w:rPr>
          <w:rFonts w:ascii="Garamond" w:hAnsi="Garamond"/>
          <w:i/>
          <w:iCs/>
          <w:noProof/>
          <w:szCs w:val="24"/>
        </w:rPr>
        <w:t>Energy Technology Systems Analysis Programme: Aluminium Production</w:t>
      </w:r>
      <w:r w:rsidRPr="00F802F5">
        <w:rPr>
          <w:rFonts w:ascii="Garamond" w:hAnsi="Garamond"/>
          <w:noProof/>
          <w:szCs w:val="24"/>
        </w:rPr>
        <w:t>.</w:t>
      </w:r>
    </w:p>
    <w:p w:rsidR="00F802F5" w:rsidRPr="00F802F5" w:rsidRDefault="00F802F5" w:rsidP="00F802F5">
      <w:pPr>
        <w:widowControl w:val="0"/>
        <w:autoSpaceDE w:val="0"/>
        <w:autoSpaceDN w:val="0"/>
        <w:adjustRightInd w:val="0"/>
        <w:spacing w:line="360" w:lineRule="auto"/>
        <w:ind w:left="480" w:hanging="480"/>
        <w:rPr>
          <w:rFonts w:ascii="Garamond" w:hAnsi="Garamond"/>
          <w:noProof/>
          <w:szCs w:val="24"/>
        </w:rPr>
      </w:pPr>
      <w:r w:rsidRPr="00F802F5">
        <w:rPr>
          <w:rFonts w:ascii="Garamond" w:hAnsi="Garamond"/>
          <w:noProof/>
          <w:szCs w:val="24"/>
        </w:rPr>
        <w:t>Steel Price (Europe) | Historical Charts, Forecasts, &amp; News. (n.d.). Retrieved September 2, 2020, from https://www.focus-economics.com/commodities/base-metals/steel-europe</w:t>
      </w:r>
    </w:p>
    <w:p w:rsidR="00F802F5" w:rsidRPr="00F802F5" w:rsidRDefault="00F802F5" w:rsidP="00F802F5">
      <w:pPr>
        <w:widowControl w:val="0"/>
        <w:autoSpaceDE w:val="0"/>
        <w:autoSpaceDN w:val="0"/>
        <w:adjustRightInd w:val="0"/>
        <w:spacing w:line="360" w:lineRule="auto"/>
        <w:ind w:left="480" w:hanging="480"/>
        <w:rPr>
          <w:rFonts w:ascii="Garamond" w:hAnsi="Garamond"/>
          <w:noProof/>
          <w:szCs w:val="24"/>
        </w:rPr>
      </w:pPr>
      <w:r w:rsidRPr="00F802F5">
        <w:rPr>
          <w:rFonts w:ascii="Garamond" w:hAnsi="Garamond"/>
          <w:noProof/>
          <w:szCs w:val="24"/>
        </w:rPr>
        <w:t xml:space="preserve">Steelonthenet. (2020a). DRI prices: India, direct reduced iron dollars per </w:t>
      </w:r>
      <w:r w:rsidR="000414CA">
        <w:rPr>
          <w:rFonts w:ascii="Garamond" w:hAnsi="Garamond"/>
          <w:noProof/>
          <w:szCs w:val="24"/>
        </w:rPr>
        <w:t>tone</w:t>
      </w:r>
      <w:r w:rsidRPr="00F802F5">
        <w:rPr>
          <w:rFonts w:ascii="Garamond" w:hAnsi="Garamond"/>
          <w:noProof/>
          <w:szCs w:val="24"/>
        </w:rPr>
        <w:t>. Retrieved September 2, 2020, from https://www.steelonthenet.com/files/dri.html</w:t>
      </w:r>
    </w:p>
    <w:p w:rsidR="00F802F5" w:rsidRPr="00F802F5" w:rsidRDefault="00F802F5" w:rsidP="00F802F5">
      <w:pPr>
        <w:widowControl w:val="0"/>
        <w:autoSpaceDE w:val="0"/>
        <w:autoSpaceDN w:val="0"/>
        <w:adjustRightInd w:val="0"/>
        <w:spacing w:line="360" w:lineRule="auto"/>
        <w:ind w:left="480" w:hanging="480"/>
        <w:rPr>
          <w:rFonts w:ascii="Garamond" w:hAnsi="Garamond"/>
          <w:noProof/>
          <w:szCs w:val="24"/>
        </w:rPr>
      </w:pPr>
      <w:r w:rsidRPr="00F802F5">
        <w:rPr>
          <w:rFonts w:ascii="Garamond" w:hAnsi="Garamond"/>
          <w:noProof/>
          <w:szCs w:val="24"/>
        </w:rPr>
        <w:t>Steelonthenet. (2020b). Electric arc furnace steelmaking costs 2020. Retrieved September 2, 2020, from https://www.steelonthenet.com/cost-eaf.html</w:t>
      </w:r>
    </w:p>
    <w:p w:rsidR="00F802F5" w:rsidRPr="00F802F5" w:rsidRDefault="00F802F5" w:rsidP="00F802F5">
      <w:pPr>
        <w:widowControl w:val="0"/>
        <w:autoSpaceDE w:val="0"/>
        <w:autoSpaceDN w:val="0"/>
        <w:adjustRightInd w:val="0"/>
        <w:spacing w:line="360" w:lineRule="auto"/>
        <w:ind w:left="480" w:hanging="480"/>
        <w:rPr>
          <w:rFonts w:ascii="Garamond" w:hAnsi="Garamond"/>
          <w:noProof/>
        </w:rPr>
      </w:pPr>
      <w:r w:rsidRPr="00F802F5">
        <w:rPr>
          <w:rFonts w:ascii="Garamond" w:hAnsi="Garamond"/>
          <w:noProof/>
          <w:szCs w:val="24"/>
        </w:rPr>
        <w:t xml:space="preserve">Vogl, V., Åhman, M., &amp; Nilsson, L. J. (2018). Assessment of hydrogen direct reduction for fossil-free steelmaking. In </w:t>
      </w:r>
      <w:r w:rsidRPr="00F802F5">
        <w:rPr>
          <w:rFonts w:ascii="Garamond" w:hAnsi="Garamond"/>
          <w:i/>
          <w:iCs/>
          <w:noProof/>
          <w:szCs w:val="24"/>
        </w:rPr>
        <w:t>Journal of Cleaner Production</w:t>
      </w:r>
      <w:r w:rsidRPr="00F802F5">
        <w:rPr>
          <w:rFonts w:ascii="Garamond" w:hAnsi="Garamond"/>
          <w:noProof/>
          <w:szCs w:val="24"/>
        </w:rPr>
        <w:t xml:space="preserve"> (Vol. 203). https://doi.org/10.1016/j.jclepro.2018.08.279</w:t>
      </w:r>
    </w:p>
    <w:p w:rsidR="00F802F5" w:rsidRPr="005053C2" w:rsidRDefault="00F802F5" w:rsidP="00F802F5">
      <w:pPr>
        <w:pStyle w:val="JIEreferencelist"/>
        <w:ind w:left="0" w:firstLine="0"/>
        <w:rPr>
          <w:i/>
        </w:rPr>
      </w:pPr>
      <w:r>
        <w:rPr>
          <w:i/>
        </w:rPr>
        <w:fldChar w:fldCharType="end"/>
      </w:r>
    </w:p>
    <w:sectPr w:rsidR="00F802F5" w:rsidRPr="005053C2" w:rsidSect="005212CA">
      <w:headerReference w:type="default" r:id="rId12"/>
      <w:footerReference w:type="default" r:id="rId13"/>
      <w:headerReference w:type="firs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748" w:rsidRDefault="004D3748">
      <w:r>
        <w:separator/>
      </w:r>
    </w:p>
  </w:endnote>
  <w:endnote w:type="continuationSeparator" w:id="0">
    <w:p w:rsidR="004D3748" w:rsidRDefault="004D3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813" w:rsidRPr="00DB45F4" w:rsidRDefault="00E72813">
    <w:pPr>
      <w:autoSpaceDE w:val="0"/>
      <w:autoSpaceDN w:val="0"/>
      <w:adjustRightInd w:val="0"/>
      <w:jc w:val="center"/>
      <w:rPr>
        <w:rFonts w:eastAsia="Times New Roman"/>
        <w:szCs w:val="24"/>
      </w:rPr>
    </w:pPr>
    <w:r w:rsidRPr="00DB45F4">
      <w:rPr>
        <w:rFonts w:eastAsia="Times New Roman"/>
        <w:szCs w:val="24"/>
      </w:rPr>
      <w:t>S-</w:t>
    </w:r>
    <w:r w:rsidRPr="00DB45F4">
      <w:rPr>
        <w:rStyle w:val="PageNumber"/>
        <w:szCs w:val="24"/>
        <w:lang w:val="en-GB"/>
      </w:rPr>
      <w:fldChar w:fldCharType="begin"/>
    </w:r>
    <w:r w:rsidRPr="00DB45F4">
      <w:rPr>
        <w:rStyle w:val="PageNumber"/>
        <w:szCs w:val="24"/>
        <w:lang w:val="en-GB"/>
      </w:rPr>
      <w:instrText xml:space="preserve"> PAGE </w:instrText>
    </w:r>
    <w:r w:rsidRPr="00DB45F4">
      <w:rPr>
        <w:rStyle w:val="PageNumber"/>
        <w:szCs w:val="24"/>
        <w:lang w:val="en-GB"/>
      </w:rPr>
      <w:fldChar w:fldCharType="separate"/>
    </w:r>
    <w:r w:rsidR="00B9676C">
      <w:rPr>
        <w:rStyle w:val="PageNumber"/>
        <w:noProof/>
        <w:szCs w:val="24"/>
        <w:lang w:val="en-GB"/>
      </w:rPr>
      <w:t>2</w:t>
    </w:r>
    <w:r w:rsidRPr="00DB45F4">
      <w:rPr>
        <w:rStyle w:val="PageNumber"/>
        <w:szCs w:val="24"/>
        <w:lang w:val="en-GB"/>
      </w:rPr>
      <w:fldChar w:fldCharType="end"/>
    </w:r>
  </w:p>
  <w:p w:rsidR="00E72813" w:rsidRDefault="00E728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748" w:rsidRDefault="004D3748">
      <w:r>
        <w:separator/>
      </w:r>
    </w:p>
  </w:footnote>
  <w:footnote w:type="continuationSeparator" w:id="0">
    <w:p w:rsidR="004D3748" w:rsidRDefault="004D3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813" w:rsidRDefault="00E72813">
    <w:pPr>
      <w:autoSpaceDE w:val="0"/>
      <w:autoSpaceDN w:val="0"/>
      <w:adjustRightInd w:val="0"/>
    </w:pPr>
    <w:r>
      <w:rPr>
        <w:rFonts w:ascii="Arial" w:hAnsi="Arial" w:cs="Arial"/>
        <w:sz w:val="20"/>
      </w:rPr>
      <w:t>2021</w:t>
    </w:r>
    <w:r>
      <w:rPr>
        <w:rFonts w:ascii="Arial" w:hAnsi="Arial" w:cs="Arial"/>
      </w:rPr>
      <w:t xml:space="preserve"> </w:t>
    </w:r>
    <w:r>
      <w:rPr>
        <w:rFonts w:ascii="Arial" w:hAnsi="Arial"/>
        <w:sz w:val="20"/>
      </w:rPr>
      <w:t xml:space="preserve">Journal of Industrial Ecology – </w:t>
    </w:r>
    <w:hyperlink r:id="rId1" w:history="1">
      <w:r w:rsidRPr="0005253F">
        <w:rPr>
          <w:rStyle w:val="Hyperlink"/>
          <w:rFonts w:ascii="Arial" w:hAnsi="Arial" w:cs="Arial"/>
          <w:b/>
          <w:bCs/>
          <w:sz w:val="20"/>
        </w:rPr>
        <w:t>www.wileyonlinelibrary.com/journal/jie</w:t>
      </w:r>
    </w:hyperlink>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813" w:rsidRDefault="00E72813">
    <w:pPr>
      <w:pStyle w:val="JIEnormal-noindent"/>
      <w:autoSpaceDE w:val="0"/>
      <w:autoSpaceDN w:val="0"/>
      <w:adjustRightInd w:val="0"/>
      <w:spacing w:line="240" w:lineRule="auto"/>
    </w:pPr>
    <w:r>
      <w:rPr>
        <w:rFonts w:ascii="Arial" w:hAnsi="Arial" w:cs="Arial"/>
        <w:sz w:val="20"/>
      </w:rPr>
      <w:t>2007</w:t>
    </w:r>
    <w:r>
      <w:rPr>
        <w:rFonts w:ascii="Arial" w:hAnsi="Arial" w:cs="Arial"/>
      </w:rPr>
      <w:t xml:space="preserve"> </w:t>
    </w:r>
    <w:r>
      <w:rPr>
        <w:rFonts w:ascii="Arial" w:hAnsi="Arial"/>
        <w:sz w:val="20"/>
      </w:rPr>
      <w:t>Journal of Industrial Ecology – www.mitpressjournals.org/jie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1A09E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E4AD6F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316409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BCA0C9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CFED87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3E69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6C88A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7EA2C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564E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3214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337EE4"/>
    <w:multiLevelType w:val="singleLevel"/>
    <w:tmpl w:val="70E47D3E"/>
    <w:lvl w:ilvl="0">
      <w:start w:val="3"/>
      <w:numFmt w:val="bullet"/>
      <w:lvlText w:val="-"/>
      <w:lvlJc w:val="left"/>
      <w:pPr>
        <w:tabs>
          <w:tab w:val="num" w:pos="360"/>
        </w:tabs>
        <w:ind w:left="360" w:hanging="360"/>
      </w:pPr>
      <w:rPr>
        <w:rFonts w:hint="default"/>
      </w:rPr>
    </w:lvl>
  </w:abstractNum>
  <w:abstractNum w:abstractNumId="11" w15:restartNumberingAfterBreak="0">
    <w:nsid w:val="25BF5770"/>
    <w:multiLevelType w:val="singleLevel"/>
    <w:tmpl w:val="33663910"/>
    <w:lvl w:ilvl="0">
      <w:start w:val="1"/>
      <w:numFmt w:val="decimal"/>
      <w:lvlText w:val="(%1)"/>
      <w:lvlJc w:val="left"/>
      <w:pPr>
        <w:tabs>
          <w:tab w:val="num" w:pos="360"/>
        </w:tabs>
        <w:ind w:left="360" w:hanging="360"/>
      </w:pPr>
      <w:rPr>
        <w:rFonts w:hint="default"/>
      </w:rPr>
    </w:lvl>
  </w:abstractNum>
  <w:abstractNum w:abstractNumId="12" w15:restartNumberingAfterBreak="0">
    <w:nsid w:val="25EB5E38"/>
    <w:multiLevelType w:val="singleLevel"/>
    <w:tmpl w:val="BA3E57E0"/>
    <w:lvl w:ilvl="0">
      <w:start w:val="2"/>
      <w:numFmt w:val="bullet"/>
      <w:lvlText w:val="-"/>
      <w:lvlJc w:val="left"/>
      <w:pPr>
        <w:tabs>
          <w:tab w:val="num" w:pos="360"/>
        </w:tabs>
        <w:ind w:left="360" w:hanging="360"/>
      </w:pPr>
      <w:rPr>
        <w:rFonts w:hint="default"/>
      </w:rPr>
    </w:lvl>
  </w:abstractNum>
  <w:abstractNum w:abstractNumId="13" w15:restartNumberingAfterBreak="0">
    <w:nsid w:val="38803DC1"/>
    <w:multiLevelType w:val="singleLevel"/>
    <w:tmpl w:val="A98E3B3E"/>
    <w:lvl w:ilvl="0">
      <w:start w:val="5"/>
      <w:numFmt w:val="decimal"/>
      <w:lvlText w:val="%1."/>
      <w:lvlJc w:val="left"/>
      <w:pPr>
        <w:tabs>
          <w:tab w:val="num" w:pos="360"/>
        </w:tabs>
        <w:ind w:left="360" w:hanging="360"/>
      </w:pPr>
      <w:rPr>
        <w:rFonts w:hint="default"/>
        <w:i/>
      </w:rPr>
    </w:lvl>
  </w:abstractNum>
  <w:abstractNum w:abstractNumId="14" w15:restartNumberingAfterBreak="0">
    <w:nsid w:val="41504999"/>
    <w:multiLevelType w:val="singleLevel"/>
    <w:tmpl w:val="0409000F"/>
    <w:lvl w:ilvl="0">
      <w:start w:val="6"/>
      <w:numFmt w:val="decimal"/>
      <w:lvlText w:val="%1."/>
      <w:lvlJc w:val="left"/>
      <w:pPr>
        <w:tabs>
          <w:tab w:val="num" w:pos="360"/>
        </w:tabs>
        <w:ind w:left="360" w:hanging="360"/>
      </w:pPr>
      <w:rPr>
        <w:rFonts w:hint="default"/>
      </w:rPr>
    </w:lvl>
  </w:abstractNum>
  <w:abstractNum w:abstractNumId="15" w15:restartNumberingAfterBreak="0">
    <w:nsid w:val="4CC42E2B"/>
    <w:multiLevelType w:val="singleLevel"/>
    <w:tmpl w:val="DA742C6E"/>
    <w:lvl w:ilvl="0">
      <w:start w:val="1"/>
      <w:numFmt w:val="decimal"/>
      <w:lvlText w:val="(%1)"/>
      <w:lvlJc w:val="left"/>
      <w:pPr>
        <w:tabs>
          <w:tab w:val="num" w:pos="360"/>
        </w:tabs>
        <w:ind w:left="360" w:hanging="360"/>
      </w:pPr>
      <w:rPr>
        <w:rFonts w:hint="default"/>
      </w:rPr>
    </w:lvl>
  </w:abstractNum>
  <w:abstractNum w:abstractNumId="16" w15:restartNumberingAfterBreak="0">
    <w:nsid w:val="59474098"/>
    <w:multiLevelType w:val="singleLevel"/>
    <w:tmpl w:val="0409000F"/>
    <w:lvl w:ilvl="0">
      <w:start w:val="5"/>
      <w:numFmt w:val="decimal"/>
      <w:lvlText w:val="%1."/>
      <w:lvlJc w:val="left"/>
      <w:pPr>
        <w:tabs>
          <w:tab w:val="num" w:pos="360"/>
        </w:tabs>
        <w:ind w:left="360" w:hanging="360"/>
      </w:pPr>
      <w:rPr>
        <w:rFonts w:hint="default"/>
      </w:rPr>
    </w:lvl>
  </w:abstractNum>
  <w:abstractNum w:abstractNumId="17" w15:restartNumberingAfterBreak="0">
    <w:nsid w:val="616817F5"/>
    <w:multiLevelType w:val="singleLevel"/>
    <w:tmpl w:val="7E1C9194"/>
    <w:lvl w:ilvl="0">
      <w:start w:val="1"/>
      <w:numFmt w:val="lowerRoman"/>
      <w:lvlText w:val="(%1)"/>
      <w:lvlJc w:val="left"/>
      <w:pPr>
        <w:tabs>
          <w:tab w:val="num" w:pos="720"/>
        </w:tabs>
        <w:ind w:left="720" w:hanging="720"/>
      </w:pPr>
      <w:rPr>
        <w:rFonts w:hint="default"/>
      </w:rPr>
    </w:lvl>
  </w:abstractNum>
  <w:abstractNum w:abstractNumId="18" w15:restartNumberingAfterBreak="0">
    <w:nsid w:val="65942637"/>
    <w:multiLevelType w:val="singleLevel"/>
    <w:tmpl w:val="6F9C28B6"/>
    <w:lvl w:ilvl="0">
      <w:start w:val="1"/>
      <w:numFmt w:val="bullet"/>
      <w:lvlText w:val="-"/>
      <w:lvlJc w:val="left"/>
      <w:pPr>
        <w:tabs>
          <w:tab w:val="num" w:pos="360"/>
        </w:tabs>
        <w:ind w:left="360" w:hanging="360"/>
      </w:pPr>
      <w:rPr>
        <w:rFonts w:hint="default"/>
      </w:rPr>
    </w:lvl>
  </w:abstractNum>
  <w:abstractNum w:abstractNumId="19" w15:restartNumberingAfterBreak="0">
    <w:nsid w:val="706348D3"/>
    <w:multiLevelType w:val="singleLevel"/>
    <w:tmpl w:val="2DC06656"/>
    <w:lvl w:ilvl="0">
      <w:start w:val="1"/>
      <w:numFmt w:val="decimal"/>
      <w:lvlText w:val="(%1)"/>
      <w:lvlJc w:val="left"/>
      <w:pPr>
        <w:tabs>
          <w:tab w:val="num" w:pos="360"/>
        </w:tabs>
        <w:ind w:left="360" w:hanging="360"/>
      </w:pPr>
      <w:rPr>
        <w:rFonts w:hint="default"/>
      </w:rPr>
    </w:lvl>
  </w:abstractNum>
  <w:abstractNum w:abstractNumId="20" w15:restartNumberingAfterBreak="0">
    <w:nsid w:val="72F15821"/>
    <w:multiLevelType w:val="singleLevel"/>
    <w:tmpl w:val="58A6672C"/>
    <w:lvl w:ilvl="0">
      <w:start w:val="1"/>
      <w:numFmt w:val="bullet"/>
      <w:lvlText w:val="-"/>
      <w:lvlJc w:val="left"/>
      <w:pPr>
        <w:tabs>
          <w:tab w:val="num" w:pos="360"/>
        </w:tabs>
        <w:ind w:left="360" w:hanging="360"/>
      </w:pPr>
      <w:rPr>
        <w:rFonts w:hint="default"/>
      </w:rPr>
    </w:lvl>
  </w:abstractNum>
  <w:abstractNum w:abstractNumId="21" w15:restartNumberingAfterBreak="0">
    <w:nsid w:val="78326307"/>
    <w:multiLevelType w:val="singleLevel"/>
    <w:tmpl w:val="B70838CA"/>
    <w:lvl w:ilvl="0">
      <w:start w:val="8"/>
      <w:numFmt w:val="bullet"/>
      <w:lvlText w:val="-"/>
      <w:lvlJc w:val="left"/>
      <w:pPr>
        <w:tabs>
          <w:tab w:val="num" w:pos="360"/>
        </w:tabs>
        <w:ind w:left="360" w:hanging="360"/>
      </w:pPr>
      <w:rPr>
        <w:rFonts w:hint="default"/>
      </w:rPr>
    </w:lvl>
  </w:abstractNum>
  <w:abstractNum w:abstractNumId="22" w15:restartNumberingAfterBreak="0">
    <w:nsid w:val="793955C5"/>
    <w:multiLevelType w:val="singleLevel"/>
    <w:tmpl w:val="7CC40C30"/>
    <w:lvl w:ilvl="0">
      <w:start w:val="3"/>
      <w:numFmt w:val="bullet"/>
      <w:lvlText w:val="-"/>
      <w:lvlJc w:val="left"/>
      <w:pPr>
        <w:tabs>
          <w:tab w:val="num" w:pos="360"/>
        </w:tabs>
        <w:ind w:left="360" w:hanging="360"/>
      </w:pPr>
      <w:rPr>
        <w:rFonts w:hint="default"/>
      </w:rPr>
    </w:lvl>
  </w:abstractNum>
  <w:num w:numId="1">
    <w:abstractNumId w:val="12"/>
  </w:num>
  <w:num w:numId="2">
    <w:abstractNumId w:val="17"/>
  </w:num>
  <w:num w:numId="3">
    <w:abstractNumId w:val="20"/>
  </w:num>
  <w:num w:numId="4">
    <w:abstractNumId w:val="15"/>
  </w:num>
  <w:num w:numId="5">
    <w:abstractNumId w:val="19"/>
  </w:num>
  <w:num w:numId="6">
    <w:abstractNumId w:val="11"/>
  </w:num>
  <w:num w:numId="7">
    <w:abstractNumId w:val="14"/>
  </w:num>
  <w:num w:numId="8">
    <w:abstractNumId w:val="22"/>
  </w:num>
  <w:num w:numId="9">
    <w:abstractNumId w:val="18"/>
  </w:num>
  <w:num w:numId="10">
    <w:abstractNumId w:val="21"/>
  </w:num>
  <w:num w:numId="11">
    <w:abstractNumId w:val="16"/>
  </w:num>
  <w:num w:numId="12">
    <w:abstractNumId w:val="13"/>
  </w:num>
  <w:num w:numId="13">
    <w:abstractNumId w:val="10"/>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LM0MzM0MDM0NzG0tDRR0lEKTi0uzszPAykwqgUAW5Rx4SwAAAA="/>
  </w:docVars>
  <w:rsids>
    <w:rsidRoot w:val="00A74481"/>
    <w:rsid w:val="00013D1E"/>
    <w:rsid w:val="00026AC0"/>
    <w:rsid w:val="000414CA"/>
    <w:rsid w:val="0005253F"/>
    <w:rsid w:val="0006686F"/>
    <w:rsid w:val="000C1B25"/>
    <w:rsid w:val="000E1EDA"/>
    <w:rsid w:val="00127752"/>
    <w:rsid w:val="00140520"/>
    <w:rsid w:val="00151F63"/>
    <w:rsid w:val="00164C58"/>
    <w:rsid w:val="00177180"/>
    <w:rsid w:val="001B0CD6"/>
    <w:rsid w:val="001E2393"/>
    <w:rsid w:val="00210627"/>
    <w:rsid w:val="00244AEE"/>
    <w:rsid w:val="00281931"/>
    <w:rsid w:val="00296293"/>
    <w:rsid w:val="002B5979"/>
    <w:rsid w:val="002D46CC"/>
    <w:rsid w:val="00305A60"/>
    <w:rsid w:val="00312C21"/>
    <w:rsid w:val="003328E4"/>
    <w:rsid w:val="00355DDD"/>
    <w:rsid w:val="003621F9"/>
    <w:rsid w:val="003C1639"/>
    <w:rsid w:val="00405228"/>
    <w:rsid w:val="0043029D"/>
    <w:rsid w:val="00437604"/>
    <w:rsid w:val="00470259"/>
    <w:rsid w:val="004D3748"/>
    <w:rsid w:val="004F406C"/>
    <w:rsid w:val="005041EC"/>
    <w:rsid w:val="005053C2"/>
    <w:rsid w:val="00516DD8"/>
    <w:rsid w:val="005212CA"/>
    <w:rsid w:val="005342AF"/>
    <w:rsid w:val="00536904"/>
    <w:rsid w:val="00541604"/>
    <w:rsid w:val="005537D1"/>
    <w:rsid w:val="00637D84"/>
    <w:rsid w:val="0067182A"/>
    <w:rsid w:val="006805EB"/>
    <w:rsid w:val="00694D2D"/>
    <w:rsid w:val="006E2334"/>
    <w:rsid w:val="007766B5"/>
    <w:rsid w:val="00792F07"/>
    <w:rsid w:val="007A518D"/>
    <w:rsid w:val="007F4644"/>
    <w:rsid w:val="007F7B33"/>
    <w:rsid w:val="00861C5D"/>
    <w:rsid w:val="008929D7"/>
    <w:rsid w:val="008A2B05"/>
    <w:rsid w:val="008B1F6A"/>
    <w:rsid w:val="008E0C5F"/>
    <w:rsid w:val="008F3AD9"/>
    <w:rsid w:val="00925C6A"/>
    <w:rsid w:val="00957CB3"/>
    <w:rsid w:val="009618A6"/>
    <w:rsid w:val="009A31CE"/>
    <w:rsid w:val="009B445B"/>
    <w:rsid w:val="009D7C33"/>
    <w:rsid w:val="009F5CBF"/>
    <w:rsid w:val="00A0155D"/>
    <w:rsid w:val="00A74481"/>
    <w:rsid w:val="00A91307"/>
    <w:rsid w:val="00AB3506"/>
    <w:rsid w:val="00AC58D5"/>
    <w:rsid w:val="00AD12A1"/>
    <w:rsid w:val="00AF76BD"/>
    <w:rsid w:val="00B7251F"/>
    <w:rsid w:val="00B82850"/>
    <w:rsid w:val="00B9676C"/>
    <w:rsid w:val="00BB6867"/>
    <w:rsid w:val="00BC4005"/>
    <w:rsid w:val="00BD34DF"/>
    <w:rsid w:val="00C03D2D"/>
    <w:rsid w:val="00C22841"/>
    <w:rsid w:val="00C646B1"/>
    <w:rsid w:val="00C90CAF"/>
    <w:rsid w:val="00C97586"/>
    <w:rsid w:val="00CA6730"/>
    <w:rsid w:val="00CB71D6"/>
    <w:rsid w:val="00CE02CB"/>
    <w:rsid w:val="00D045A7"/>
    <w:rsid w:val="00D66026"/>
    <w:rsid w:val="00D661C5"/>
    <w:rsid w:val="00D75942"/>
    <w:rsid w:val="00DB45F4"/>
    <w:rsid w:val="00E72813"/>
    <w:rsid w:val="00EF3966"/>
    <w:rsid w:val="00F106E6"/>
    <w:rsid w:val="00F6584F"/>
    <w:rsid w:val="00F802F5"/>
    <w:rsid w:val="00F8636A"/>
    <w:rsid w:val="00FC3678"/>
    <w:rsid w:val="00FD06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124DF0"/>
  <w15:chartTrackingRefBased/>
  <w15:docId w15:val="{754045D6-29AB-41FF-AA54-03A1F5032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7F4644"/>
    <w:rPr>
      <w:sz w:val="24"/>
    </w:rPr>
  </w:style>
  <w:style w:type="paragraph" w:styleId="Heading1">
    <w:name w:val="heading 1"/>
    <w:basedOn w:val="Normal"/>
    <w:next w:val="Normal"/>
    <w:qFormat/>
    <w:rsid w:val="00E72813"/>
    <w:pPr>
      <w:keepNext/>
      <w:spacing w:line="360" w:lineRule="auto"/>
      <w:jc w:val="both"/>
      <w:outlineLvl w:val="0"/>
    </w:pPr>
    <w:rPr>
      <w:b/>
      <w:bCs/>
    </w:rPr>
  </w:style>
  <w:style w:type="paragraph" w:styleId="Heading2">
    <w:name w:val="heading 2"/>
    <w:basedOn w:val="Normal"/>
    <w:next w:val="Normal"/>
    <w:qFormat/>
    <w:rsid w:val="007F4644"/>
    <w:pPr>
      <w:keepNext/>
      <w:outlineLvl w:val="1"/>
    </w:pPr>
    <w:rPr>
      <w:b/>
      <w:sz w:val="32"/>
    </w:rPr>
  </w:style>
  <w:style w:type="paragraph" w:styleId="Heading3">
    <w:name w:val="heading 3"/>
    <w:basedOn w:val="Normal"/>
    <w:next w:val="Normal"/>
    <w:qFormat/>
    <w:rsid w:val="007F4644"/>
    <w:pPr>
      <w:keepNext/>
      <w:outlineLvl w:val="2"/>
    </w:pPr>
    <w:rPr>
      <w:b/>
      <w:i/>
      <w:sz w:val="32"/>
    </w:rPr>
  </w:style>
  <w:style w:type="paragraph" w:styleId="Heading4">
    <w:name w:val="heading 4"/>
    <w:basedOn w:val="Normal"/>
    <w:next w:val="Normal"/>
    <w:qFormat/>
    <w:rsid w:val="007F4644"/>
    <w:pPr>
      <w:keepNext/>
      <w:outlineLvl w:val="3"/>
    </w:pPr>
    <w:rPr>
      <w:b/>
      <w:sz w:val="28"/>
    </w:rPr>
  </w:style>
  <w:style w:type="paragraph" w:styleId="Heading5">
    <w:name w:val="heading 5"/>
    <w:basedOn w:val="Normal"/>
    <w:next w:val="Normal"/>
    <w:qFormat/>
    <w:rsid w:val="007F4644"/>
    <w:pPr>
      <w:keepNext/>
      <w:jc w:val="both"/>
      <w:outlineLvl w:val="4"/>
    </w:pPr>
    <w:rPr>
      <w:b/>
      <w:bCs/>
      <w:sz w:val="22"/>
    </w:rPr>
  </w:style>
  <w:style w:type="paragraph" w:styleId="Heading6">
    <w:name w:val="heading 6"/>
    <w:basedOn w:val="Normal"/>
    <w:next w:val="Normal"/>
    <w:qFormat/>
    <w:rsid w:val="007F4644"/>
    <w:pPr>
      <w:keepNext/>
      <w:outlineLvl w:val="5"/>
    </w:pPr>
    <w:rPr>
      <w:b/>
      <w:i/>
      <w:sz w:val="26"/>
    </w:rPr>
  </w:style>
  <w:style w:type="paragraph" w:styleId="Heading7">
    <w:name w:val="heading 7"/>
    <w:basedOn w:val="Normal"/>
    <w:next w:val="Normal"/>
    <w:qFormat/>
    <w:rsid w:val="007F4644"/>
    <w:pPr>
      <w:keepNext/>
      <w:outlineLvl w:val="6"/>
    </w:pPr>
    <w:rPr>
      <w:b/>
      <w:bCs/>
      <w:i/>
      <w:iCs/>
      <w:sz w:val="26"/>
    </w:rPr>
  </w:style>
  <w:style w:type="paragraph" w:styleId="Heading8">
    <w:name w:val="heading 8"/>
    <w:basedOn w:val="Normal"/>
    <w:next w:val="Normal"/>
    <w:qFormat/>
    <w:rsid w:val="007F4644"/>
    <w:pPr>
      <w:keepNext/>
      <w:jc w:val="both"/>
      <w:outlineLvl w:val="7"/>
    </w:pPr>
    <w:rPr>
      <w:b/>
      <w:sz w:val="32"/>
    </w:rPr>
  </w:style>
  <w:style w:type="paragraph" w:styleId="Heading9">
    <w:name w:val="heading 9"/>
    <w:basedOn w:val="Normal"/>
    <w:next w:val="Normal"/>
    <w:qFormat/>
    <w:rsid w:val="007F4644"/>
    <w:pPr>
      <w:keepNext/>
      <w:jc w:val="both"/>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F4644"/>
    <w:rPr>
      <w:sz w:val="20"/>
    </w:rPr>
  </w:style>
  <w:style w:type="character" w:styleId="FootnoteReference">
    <w:name w:val="footnote reference"/>
    <w:semiHidden/>
    <w:rsid w:val="007F4644"/>
    <w:rPr>
      <w:vertAlign w:val="superscript"/>
    </w:rPr>
  </w:style>
  <w:style w:type="paragraph" w:styleId="BodyText2">
    <w:name w:val="Body Text 2"/>
    <w:basedOn w:val="Normal"/>
    <w:rsid w:val="007F4644"/>
    <w:rPr>
      <w:b/>
    </w:rPr>
  </w:style>
  <w:style w:type="paragraph" w:customStyle="1" w:styleId="JIEnormal-noindent">
    <w:name w:val="JIE normal - no indent"/>
    <w:basedOn w:val="Normal"/>
    <w:rsid w:val="007F4644"/>
    <w:pPr>
      <w:spacing w:line="480" w:lineRule="auto"/>
    </w:pPr>
    <w:rPr>
      <w:rFonts w:ascii="Garamond" w:hAnsi="Garamond"/>
    </w:rPr>
  </w:style>
  <w:style w:type="paragraph" w:customStyle="1" w:styleId="Feature">
    <w:name w:val="Feature"/>
    <w:basedOn w:val="Heading2"/>
    <w:rsid w:val="007F4644"/>
    <w:rPr>
      <w:sz w:val="20"/>
    </w:rPr>
  </w:style>
  <w:style w:type="paragraph" w:styleId="BlockText">
    <w:name w:val="Block Text"/>
    <w:basedOn w:val="Normal"/>
    <w:rsid w:val="007F4644"/>
    <w:pPr>
      <w:ind w:left="720" w:right="720"/>
      <w:jc w:val="both"/>
    </w:pPr>
  </w:style>
  <w:style w:type="paragraph" w:styleId="Footer">
    <w:name w:val="footer"/>
    <w:basedOn w:val="Normal"/>
    <w:rsid w:val="007F4644"/>
    <w:pPr>
      <w:tabs>
        <w:tab w:val="center" w:pos="4320"/>
        <w:tab w:val="right" w:pos="8640"/>
      </w:tabs>
    </w:pPr>
    <w:rPr>
      <w:lang w:val="en-GB"/>
    </w:rPr>
  </w:style>
  <w:style w:type="paragraph" w:styleId="Header">
    <w:name w:val="header"/>
    <w:basedOn w:val="Normal"/>
    <w:rsid w:val="007F4644"/>
    <w:pPr>
      <w:tabs>
        <w:tab w:val="center" w:pos="4320"/>
        <w:tab w:val="right" w:pos="8640"/>
      </w:tabs>
    </w:pPr>
  </w:style>
  <w:style w:type="paragraph" w:styleId="BodyText">
    <w:name w:val="Body Text"/>
    <w:basedOn w:val="Normal"/>
    <w:rsid w:val="007F4644"/>
    <w:pPr>
      <w:jc w:val="center"/>
    </w:pPr>
    <w:rPr>
      <w:b/>
      <w:sz w:val="32"/>
    </w:rPr>
  </w:style>
  <w:style w:type="paragraph" w:customStyle="1" w:styleId="MFAHeading">
    <w:name w:val="MFA Heading"/>
    <w:basedOn w:val="Heading3"/>
    <w:rsid w:val="007F4644"/>
    <w:pPr>
      <w:keepNext w:val="0"/>
      <w:outlineLvl w:val="9"/>
    </w:pPr>
    <w:rPr>
      <w:i w:val="0"/>
      <w:sz w:val="30"/>
    </w:rPr>
  </w:style>
  <w:style w:type="character" w:styleId="PageNumber">
    <w:name w:val="page number"/>
    <w:basedOn w:val="DefaultParagraphFont"/>
    <w:rsid w:val="007F4644"/>
  </w:style>
  <w:style w:type="character" w:styleId="CommentReference">
    <w:name w:val="annotation reference"/>
    <w:uiPriority w:val="99"/>
    <w:semiHidden/>
    <w:rsid w:val="007F4644"/>
    <w:rPr>
      <w:sz w:val="16"/>
    </w:rPr>
  </w:style>
  <w:style w:type="paragraph" w:styleId="CommentText">
    <w:name w:val="annotation text"/>
    <w:basedOn w:val="Normal"/>
    <w:link w:val="CommentTextChar"/>
    <w:uiPriority w:val="99"/>
    <w:semiHidden/>
    <w:rsid w:val="007F4644"/>
  </w:style>
  <w:style w:type="paragraph" w:styleId="Title">
    <w:name w:val="Title"/>
    <w:basedOn w:val="Normal"/>
    <w:qFormat/>
    <w:rsid w:val="007F4644"/>
    <w:pPr>
      <w:jc w:val="center"/>
    </w:pPr>
    <w:rPr>
      <w:b/>
    </w:rPr>
  </w:style>
  <w:style w:type="paragraph" w:styleId="BodyText3">
    <w:name w:val="Body Text 3"/>
    <w:basedOn w:val="Normal"/>
    <w:rsid w:val="007F4644"/>
    <w:pPr>
      <w:spacing w:line="360" w:lineRule="auto"/>
      <w:jc w:val="both"/>
    </w:pPr>
  </w:style>
  <w:style w:type="paragraph" w:customStyle="1" w:styleId="JIEnormal">
    <w:name w:val="JIE normal"/>
    <w:basedOn w:val="Normal"/>
    <w:rsid w:val="007F4644"/>
    <w:pPr>
      <w:spacing w:line="480" w:lineRule="auto"/>
      <w:ind w:firstLine="720"/>
    </w:pPr>
    <w:rPr>
      <w:rFonts w:ascii="Garamond" w:hAnsi="Garamond"/>
    </w:rPr>
  </w:style>
  <w:style w:type="paragraph" w:customStyle="1" w:styleId="JIEreferencelist">
    <w:name w:val="JIE reference list"/>
    <w:basedOn w:val="Normal"/>
    <w:rsid w:val="007F4644"/>
    <w:pPr>
      <w:spacing w:line="360" w:lineRule="auto"/>
      <w:ind w:left="720" w:hanging="720"/>
    </w:pPr>
    <w:rPr>
      <w:rFonts w:ascii="Garamond" w:hAnsi="Garamond"/>
    </w:rPr>
  </w:style>
  <w:style w:type="character" w:styleId="Hyperlink">
    <w:name w:val="Hyperlink"/>
    <w:rsid w:val="007F4644"/>
    <w:rPr>
      <w:color w:val="0000FF"/>
      <w:u w:val="single"/>
    </w:rPr>
  </w:style>
  <w:style w:type="paragraph" w:customStyle="1" w:styleId="Bibentry2">
    <w:name w:val="Bib entry2"/>
    <w:basedOn w:val="Normal"/>
    <w:rsid w:val="007F4644"/>
    <w:pPr>
      <w:ind w:left="720" w:hanging="720"/>
    </w:pPr>
    <w:rPr>
      <w:szCs w:val="24"/>
    </w:rPr>
  </w:style>
  <w:style w:type="paragraph" w:styleId="BodyTextIndent">
    <w:name w:val="Body Text Indent"/>
    <w:basedOn w:val="Normal"/>
    <w:autoRedefine/>
    <w:rsid w:val="007F4644"/>
    <w:pPr>
      <w:spacing w:before="120" w:after="120" w:line="360" w:lineRule="auto"/>
      <w:ind w:left="720" w:hanging="720"/>
    </w:pPr>
    <w:rPr>
      <w:rFonts w:ascii="Garamond" w:hAnsi="Garamond"/>
    </w:rPr>
  </w:style>
  <w:style w:type="paragraph" w:customStyle="1" w:styleId="Default">
    <w:name w:val="Default"/>
    <w:rsid w:val="007F4644"/>
    <w:pPr>
      <w:autoSpaceDE w:val="0"/>
      <w:autoSpaceDN w:val="0"/>
      <w:adjustRightInd w:val="0"/>
    </w:pPr>
    <w:rPr>
      <w:rFonts w:ascii="Arial" w:eastAsia="Times New Roman" w:hAnsi="Arial" w:cs="Arial"/>
    </w:rPr>
  </w:style>
  <w:style w:type="paragraph" w:styleId="BodyTextIndent2">
    <w:name w:val="Body Text Indent 2"/>
    <w:basedOn w:val="Normal"/>
    <w:rsid w:val="007F4644"/>
    <w:pPr>
      <w:autoSpaceDE w:val="0"/>
      <w:autoSpaceDN w:val="0"/>
      <w:adjustRightInd w:val="0"/>
      <w:ind w:left="540"/>
    </w:pPr>
    <w:rPr>
      <w:rFonts w:ascii="Arial" w:eastAsia="Times New Roman" w:hAnsi="Arial" w:cs="Arial"/>
      <w:sz w:val="20"/>
    </w:rPr>
  </w:style>
  <w:style w:type="character" w:styleId="FollowedHyperlink">
    <w:name w:val="FollowedHyperlink"/>
    <w:rsid w:val="007F4644"/>
    <w:rPr>
      <w:color w:val="800080"/>
      <w:u w:val="single"/>
    </w:rPr>
  </w:style>
  <w:style w:type="character" w:customStyle="1" w:styleId="CommentTextChar">
    <w:name w:val="Comment Text Char"/>
    <w:basedOn w:val="DefaultParagraphFont"/>
    <w:link w:val="CommentText"/>
    <w:uiPriority w:val="99"/>
    <w:semiHidden/>
    <w:rsid w:val="00A74481"/>
    <w:rPr>
      <w:sz w:val="24"/>
    </w:rPr>
  </w:style>
  <w:style w:type="table" w:customStyle="1" w:styleId="PlainTable21">
    <w:name w:val="Plain Table 21"/>
    <w:basedOn w:val="TableNormal"/>
    <w:next w:val="PlainTable2"/>
    <w:uiPriority w:val="42"/>
    <w:rsid w:val="00A74481"/>
    <w:rPr>
      <w:rFonts w:asciiTheme="minorHAnsi" w:eastAsiaTheme="minorHAnsi"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
    <w:uiPriority w:val="39"/>
    <w:rsid w:val="00A7448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73"/>
    <w:rsid w:val="00A7448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
    <w:name w:val="Table Grid"/>
    <w:basedOn w:val="TableNormal"/>
    <w:rsid w:val="00A74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74481"/>
    <w:rPr>
      <w:rFonts w:ascii="Segoe UI" w:hAnsi="Segoe UI" w:cs="Segoe UI"/>
      <w:sz w:val="18"/>
      <w:szCs w:val="18"/>
    </w:rPr>
  </w:style>
  <w:style w:type="character" w:customStyle="1" w:styleId="BalloonTextChar">
    <w:name w:val="Balloon Text Char"/>
    <w:basedOn w:val="DefaultParagraphFont"/>
    <w:link w:val="BalloonText"/>
    <w:rsid w:val="00A744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99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hyperlink" Target="http://www.wileyonlinelibrary.com/journal/ji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oori\Documents\Custom%20Office%20Templates\JIE%20supporting_information_template-final_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AB1F1-5C61-428F-A921-346372281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JIE supporting_information_template-final_0</Template>
  <TotalTime>23</TotalTime>
  <Pages>8</Pages>
  <Words>6023</Words>
  <Characters>34334</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Application of Physical Economy Approaches</vt:lpstr>
    </vt:vector>
  </TitlesOfParts>
  <Company>Griffith University</Company>
  <LinksUpToDate>false</LinksUpToDate>
  <CharactersWithSpaces>40277</CharactersWithSpaces>
  <SharedDoc>false</SharedDoc>
  <HLinks>
    <vt:vector size="12" baseType="variant">
      <vt:variant>
        <vt:i4>3604607</vt:i4>
      </vt:variant>
      <vt:variant>
        <vt:i4>0</vt:i4>
      </vt:variant>
      <vt:variant>
        <vt:i4>0</vt:i4>
      </vt:variant>
      <vt:variant>
        <vt:i4>5</vt:i4>
      </vt:variant>
      <vt:variant>
        <vt:lpwstr>http://jie.click/templates</vt:lpwstr>
      </vt:variant>
      <vt:variant>
        <vt:lpwstr/>
      </vt:variant>
      <vt:variant>
        <vt:i4>1441886</vt:i4>
      </vt:variant>
      <vt:variant>
        <vt:i4>0</vt:i4>
      </vt:variant>
      <vt:variant>
        <vt:i4>0</vt:i4>
      </vt:variant>
      <vt:variant>
        <vt:i4>5</vt:i4>
      </vt:variant>
      <vt:variant>
        <vt:lpwstr>http://www.wileyonlinelibrary.com/journal/jie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of Physical Economy Approaches</dc:title>
  <dc:subject/>
  <dc:creator>Shiva Noori - TBM</dc:creator>
  <cp:keywords/>
  <cp:lastModifiedBy>Shiva Noori - TBM</cp:lastModifiedBy>
  <cp:revision>10</cp:revision>
  <cp:lastPrinted>2011-02-03T14:37:00Z</cp:lastPrinted>
  <dcterms:created xsi:type="dcterms:W3CDTF">2022-01-19T15:04:00Z</dcterms:created>
  <dcterms:modified xsi:type="dcterms:W3CDTF">2022-01-19T15:27:00Z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http://www.zotero.org/styles/harvard-cite-them-right</vt:lpwstr>
  </property>
  <property fmtid="{D5CDD505-2E9C-101B-9397-08002B2CF9AE}" pid="5" name="Mendeley Recent Style Name 1_1">
    <vt:lpwstr>Cite Them Right 10th edition - Harvard</vt:lpwstr>
  </property>
  <property fmtid="{D5CDD505-2E9C-101B-9397-08002B2CF9AE}" pid="6" name="Mendeley Recent Style Id 2_1">
    <vt:lpwstr>http://www.zotero.org/styles/ieee</vt:lpwstr>
  </property>
  <property fmtid="{D5CDD505-2E9C-101B-9397-08002B2CF9AE}" pid="7" name="Mendeley Recent Style Name 2_1">
    <vt:lpwstr>IEEE</vt:lpwstr>
  </property>
  <property fmtid="{D5CDD505-2E9C-101B-9397-08002B2CF9AE}" pid="8" name="Mendeley Recent Style Id 3_1">
    <vt:lpwstr>http://www.zotero.org/styles/international-journal-of-greenhouse-gas-control</vt:lpwstr>
  </property>
  <property fmtid="{D5CDD505-2E9C-101B-9397-08002B2CF9AE}" pid="9" name="Mendeley Recent Style Name 3_1">
    <vt:lpwstr>International Journal of Greenhouse Gas Control</vt:lpwstr>
  </property>
  <property fmtid="{D5CDD505-2E9C-101B-9397-08002B2CF9AE}" pid="10" name="Mendeley Recent Style Id 4_1">
    <vt:lpwstr>http://www.zotero.org/styles/journal-of-cleaner-production</vt:lpwstr>
  </property>
  <property fmtid="{D5CDD505-2E9C-101B-9397-08002B2CF9AE}" pid="11" name="Mendeley Recent Style Name 4_1">
    <vt:lpwstr>Journal of Cleaner Production</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http://www.zotero.org/styles/resources-conservation-and-recycling</vt:lpwstr>
  </property>
  <property fmtid="{D5CDD505-2E9C-101B-9397-08002B2CF9AE}" pid="19" name="Mendeley Recent Style Name 8_1">
    <vt:lpwstr>Resources, Conservation &amp; Recycling</vt:lpwstr>
  </property>
  <property fmtid="{D5CDD505-2E9C-101B-9397-08002B2CF9AE}" pid="20" name="Mendeley Recent Style Id 9_1">
    <vt:lpwstr>http://www.zotero.org/styles/sustainability</vt:lpwstr>
  </property>
  <property fmtid="{D5CDD505-2E9C-101B-9397-08002B2CF9AE}" pid="21" name="Mendeley Recent Style Name 9_1">
    <vt:lpwstr>Sustainability</vt:lpwstr>
  </property>
  <property fmtid="{D5CDD505-2E9C-101B-9397-08002B2CF9AE}" pid="22" name="Mendeley Document_1">
    <vt:lpwstr>True</vt:lpwstr>
  </property>
  <property fmtid="{D5CDD505-2E9C-101B-9397-08002B2CF9AE}" pid="23" name="Mendeley Unique User Id_1">
    <vt:lpwstr>7aad2a62-5382-33ee-b4b9-bbcd8c7c6e55</vt:lpwstr>
  </property>
  <property fmtid="{D5CDD505-2E9C-101B-9397-08002B2CF9AE}" pid="24" name="Mendeley Citation Style_1">
    <vt:lpwstr>http://www.zotero.org/styles/apa</vt:lpwstr>
  </property>
</Properties>
</file>