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 w:firstLine="360" w:firstLineChars="200"/>
        <w:jc w:val="center"/>
        <w:rPr>
          <w:rFonts w:hint="default" w:ascii="Times New Roman Regular" w:hAnsi="Times New Roman Regular" w:cs="Times New Roman Regular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</w:pPr>
      <w:r>
        <w:rPr>
          <w:rFonts w:hint="eastAsia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  <w:lang w:val="en-US" w:eastAsia="zh-CN"/>
        </w:rPr>
        <w:t>Table</w:t>
      </w:r>
      <w:r>
        <w:rPr>
          <w:rFonts w:hint="default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</w:rPr>
        <w:t xml:space="preserve"> </w:t>
      </w:r>
      <w:r>
        <w:rPr>
          <w:rFonts w:hint="eastAsia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  <w:lang w:val="en-US" w:eastAsia="zh-CN"/>
        </w:rPr>
        <w:t>2</w:t>
      </w:r>
      <w:r>
        <w:rPr>
          <w:rFonts w:hint="default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</w:rPr>
        <w:t xml:space="preserve"> Serum TNF-α, IL-6, IL-11, and IL-1β levels in mice in each group</w:t>
      </w:r>
      <w:r>
        <w:rPr>
          <w:rFonts w:hint="default" w:ascii="Times New Roman Regular" w:hAnsi="Times New Roman Regular" w:cs="Times New Roman Regular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  <w:t>（</w:t>
      </w:r>
      <m:oMath>
        <m:acc>
          <m:accPr>
            <m:chr m:val="̅"/>
            <m:ctrlPr>
              <w:rPr>
                <w:rFonts w:hint="default" w:ascii="DejaVu Math TeX Gyre" w:hAnsi="DejaVu Math TeX Gyre" w:cs="Times New Roman Regular" w:eastAsiaTheme="minorEastAsia"/>
                <w:b/>
                <w:bCs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m:ctrlPr>
          </m:accPr>
          <m:e>
            <m:r>
              <m:rPr>
                <m:sty m:val="b"/>
              </m:rPr>
              <w:rPr>
                <w:rFonts w:hint="default" w:ascii="DejaVu Math TeX Gyre" w:hAnsi="DejaVu Math TeX Gyre" w:cs="Times New Roman Regular" w:eastAsia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m:t>x</m:t>
            </m:r>
            <m:ctrlPr>
              <w:rPr>
                <w:rFonts w:hint="default" w:ascii="DejaVu Math TeX Gyre" w:hAnsi="DejaVu Math TeX Gyre" w:cs="Times New Roman Regular" w:eastAsiaTheme="minorEastAsia"/>
                <w:b/>
                <w:bCs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m:ctrlPr>
          </m:e>
        </m:acc>
      </m:oMath>
      <w:r>
        <w:rPr>
          <w:rFonts w:hint="default" w:ascii="Times New Roman Regular" w:hAnsi="Times New Roman Regular" w:cs="Times New Roman Regular" w:eastAsiaTheme="minorEastAsia"/>
          <w:b/>
          <w:bCs/>
          <w:i w:val="0"/>
          <w:color w:val="auto"/>
          <w:kern w:val="0"/>
          <w:sz w:val="18"/>
          <w:szCs w:val="18"/>
          <w:highlight w:val="none"/>
          <w:lang w:val="en-US" w:eastAsia="zh-CN" w:bidi="ar"/>
        </w:rPr>
        <w:t>±s，n＝15）</w:t>
      </w:r>
    </w:p>
    <w:tbl>
      <w:tblPr>
        <w:tblStyle w:val="3"/>
        <w:tblW w:w="85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923"/>
        <w:gridCol w:w="1789"/>
        <w:gridCol w:w="1622"/>
        <w:gridCol w:w="1890"/>
      </w:tblGrid>
      <w:tr>
        <w:trPr>
          <w:trHeight w:val="285" w:hRule="atLeast"/>
          <w:jc w:val="center"/>
        </w:trPr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Group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TNF-α(ng/L)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IL-6(ng/L)</w:t>
            </w:r>
          </w:p>
        </w:tc>
        <w:tc>
          <w:tcPr>
            <w:tcW w:w="16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IL-11(ng/L)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IL-1β(ng/mL)</w:t>
            </w:r>
          </w:p>
        </w:tc>
      </w:tr>
      <w:tr>
        <w:trPr>
          <w:trHeight w:val="290" w:hRule="atLeast"/>
          <w:jc w:val="center"/>
        </w:trPr>
        <w:tc>
          <w:tcPr>
            <w:tcW w:w="127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sham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56.94±0.19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46.28±0.19</w:t>
            </w:r>
          </w:p>
        </w:tc>
        <w:tc>
          <w:tcPr>
            <w:tcW w:w="162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3.74±0.23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3.62±0.2</w:t>
            </w:r>
          </w:p>
        </w:tc>
      </w:tr>
      <w:tr>
        <w:trPr>
          <w:trHeight w:val="270" w:hRule="atLeast"/>
          <w:jc w:val="center"/>
        </w:trPr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model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158.47±0.19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139.51±0.19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7.32±0.19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23.35±0.19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</w:t>
            </w:r>
          </w:p>
        </w:tc>
      </w:tr>
      <w:tr>
        <w:trPr>
          <w:trHeight w:val="285" w:hRule="atLeast"/>
          <w:jc w:val="center"/>
        </w:trPr>
        <w:tc>
          <w:tcPr>
            <w:tcW w:w="1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inhibitor</w:t>
            </w:r>
          </w:p>
        </w:tc>
        <w:tc>
          <w:tcPr>
            <w:tcW w:w="1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161.34±0.21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abc</w:t>
            </w: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151.27±0.22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abc</w:t>
            </w: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8.53±0.21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abc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25.42±0.21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abc</w:t>
            </w:r>
          </w:p>
        </w:tc>
      </w:tr>
      <w:tr>
        <w:trPr>
          <w:trHeight w:val="285" w:hRule="atLeast"/>
          <w:jc w:val="center"/>
        </w:trPr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mimic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120.06±0.21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abd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67.45±0.21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abd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4.18±0.21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abd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Chars="0" w:firstLine="360" w:firstLineChars="200"/>
              <w:jc w:val="center"/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8.88±0.21</w:t>
            </w:r>
            <w:r>
              <w:rPr>
                <w:rFonts w:hint="default" w:ascii="Times New Roman Regular" w:hAnsi="Times New Roman Regular" w:cs="Times New Roman Regular" w:eastAsiaTheme="minorEastAsia"/>
                <w:b w:val="0"/>
                <w:bCs w:val="0"/>
                <w:i w:val="0"/>
                <w:color w:val="auto"/>
                <w:kern w:val="0"/>
                <w:sz w:val="18"/>
                <w:szCs w:val="18"/>
                <w:highlight w:val="none"/>
                <w:vertAlign w:val="superscript"/>
                <w:lang w:val="en-US" w:eastAsia="zh-CN" w:bidi="ar"/>
              </w:rPr>
              <w:t>abd</w:t>
            </w:r>
          </w:p>
        </w:tc>
      </w:tr>
    </w:tbl>
    <w:p>
      <w:pPr>
        <w:numPr>
          <w:ilvl w:val="0"/>
          <w:numId w:val="0"/>
        </w:numPr>
        <w:ind w:leftChars="0" w:firstLine="360" w:firstLineChars="200"/>
        <w:jc w:val="center"/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</w:pP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  <w:t xml:space="preserve">(Compared with sham, 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vertAlign w:val="superscript"/>
          <w:lang w:val="en-US" w:eastAsia="zh-CN"/>
        </w:rPr>
        <w:t>a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  <w:t xml:space="preserve">P&lt;0.001; compared with model, 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vertAlign w:val="superscript"/>
          <w:lang w:val="en-US" w:eastAsia="zh-CN"/>
        </w:rPr>
        <w:t>b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  <w:t xml:space="preserve">P&lt;0.001; compared with mimic, 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vertAlign w:val="superscript"/>
          <w:lang w:val="en-US" w:eastAsia="zh-CN"/>
        </w:rPr>
        <w:t>c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  <w:t xml:space="preserve">P&lt;0.001; compared with inhibitor , 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vertAlign w:val="superscript"/>
          <w:lang w:val="en-US" w:eastAsia="zh-CN"/>
        </w:rPr>
        <w:t>d</w:t>
      </w:r>
      <w:r>
        <w:rPr>
          <w:rFonts w:hint="default" w:ascii="Times New Roman Regular" w:hAnsi="Times New Roman Regular" w:cs="Times New Roman Regular"/>
          <w:color w:val="auto"/>
          <w:sz w:val="18"/>
          <w:szCs w:val="18"/>
          <w:highlight w:val="none"/>
          <w:lang w:val="en-US" w:eastAsia="zh-CN"/>
        </w:rPr>
        <w:t>P&lt;0.001.)</w:t>
      </w:r>
    </w:p>
    <w:tbl>
      <w:tblPr>
        <w:tblStyle w:val="4"/>
        <w:tblW w:w="0" w:type="auto"/>
        <w:tblInd w:w="7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7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2" w:hRule="atLeast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40640</wp:posOffset>
                  </wp:positionV>
                  <wp:extent cx="1879600" cy="1701800"/>
                  <wp:effectExtent l="0" t="0" r="0" b="0"/>
                  <wp:wrapTight wrapText="bothSides">
                    <wp:wrapPolygon>
                      <wp:start x="15470" y="967"/>
                      <wp:lineTo x="2335" y="2579"/>
                      <wp:lineTo x="1459" y="3546"/>
                      <wp:lineTo x="3211" y="6125"/>
                      <wp:lineTo x="1751" y="6448"/>
                      <wp:lineTo x="292" y="8704"/>
                      <wp:lineTo x="292" y="12251"/>
                      <wp:lineTo x="2627" y="16442"/>
                      <wp:lineTo x="2627" y="17087"/>
                      <wp:lineTo x="4670" y="20310"/>
                      <wp:lineTo x="11676" y="21278"/>
                      <wp:lineTo x="13427" y="21278"/>
                      <wp:lineTo x="16930" y="20955"/>
                      <wp:lineTo x="21308" y="18376"/>
                      <wp:lineTo x="21308" y="4191"/>
                      <wp:lineTo x="19265" y="967"/>
                      <wp:lineTo x="17805" y="967"/>
                      <wp:lineTo x="15470" y="967"/>
                    </wp:wrapPolygon>
                  </wp:wrapTight>
                  <wp:docPr id="8" name="图片 8" descr="的副本 TNF-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的副本 TNF-α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78105</wp:posOffset>
                  </wp:positionV>
                  <wp:extent cx="1818640" cy="1619885"/>
                  <wp:effectExtent l="0" t="0" r="10160" b="5715"/>
                  <wp:wrapTight wrapText="bothSides">
                    <wp:wrapPolygon>
                      <wp:start x="15687" y="1016"/>
                      <wp:lineTo x="4223" y="2032"/>
                      <wp:lineTo x="1508" y="3048"/>
                      <wp:lineTo x="1810" y="6435"/>
                      <wp:lineTo x="603" y="8129"/>
                      <wp:lineTo x="302" y="11854"/>
                      <wp:lineTo x="2413" y="17273"/>
                      <wp:lineTo x="2413" y="19305"/>
                      <wp:lineTo x="6335" y="20999"/>
                      <wp:lineTo x="11765" y="21338"/>
                      <wp:lineTo x="13274" y="21338"/>
                      <wp:lineTo x="16894" y="20999"/>
                      <wp:lineTo x="21419" y="18967"/>
                      <wp:lineTo x="21419" y="4064"/>
                      <wp:lineTo x="19609" y="1016"/>
                      <wp:lineTo x="18101" y="1016"/>
                      <wp:lineTo x="15687" y="1016"/>
                    </wp:wrapPolygon>
                  </wp:wrapTight>
                  <wp:docPr id="9" name="图片 9" descr="的副本 IL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的副本 IL-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640" cy="1619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9" w:hRule="atLeast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24765</wp:posOffset>
                  </wp:positionV>
                  <wp:extent cx="2062480" cy="1912620"/>
                  <wp:effectExtent l="0" t="0" r="20320" b="18415"/>
                  <wp:wrapTight wrapText="bothSides">
                    <wp:wrapPolygon>
                      <wp:start x="15429" y="1147"/>
                      <wp:lineTo x="5586" y="2008"/>
                      <wp:lineTo x="1862" y="3155"/>
                      <wp:lineTo x="798" y="8032"/>
                      <wp:lineTo x="532" y="11761"/>
                      <wp:lineTo x="1862" y="14916"/>
                      <wp:lineTo x="2926" y="19506"/>
                      <wp:lineTo x="3724" y="20080"/>
                      <wp:lineTo x="11704" y="21227"/>
                      <wp:lineTo x="13034" y="21227"/>
                      <wp:lineTo x="18887" y="20080"/>
                      <wp:lineTo x="19685" y="19506"/>
                      <wp:lineTo x="21281" y="16637"/>
                      <wp:lineTo x="21281" y="3729"/>
                      <wp:lineTo x="19419" y="1147"/>
                      <wp:lineTo x="17823" y="1147"/>
                      <wp:lineTo x="15429" y="1147"/>
                    </wp:wrapPolygon>
                  </wp:wrapTight>
                  <wp:docPr id="27" name="图片 27" descr="的副本 IL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的副本 IL-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480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11430</wp:posOffset>
                  </wp:positionV>
                  <wp:extent cx="1895475" cy="1715770"/>
                  <wp:effectExtent l="0" t="0" r="9525" b="10795"/>
                  <wp:wrapTight wrapText="bothSides">
                    <wp:wrapPolygon>
                      <wp:start x="15630" y="640"/>
                      <wp:lineTo x="3473" y="1599"/>
                      <wp:lineTo x="1737" y="2878"/>
                      <wp:lineTo x="2894" y="5756"/>
                      <wp:lineTo x="868" y="7355"/>
                      <wp:lineTo x="289" y="8314"/>
                      <wp:lineTo x="579" y="12791"/>
                      <wp:lineTo x="2026" y="15988"/>
                      <wp:lineTo x="2316" y="17587"/>
                      <wp:lineTo x="4052" y="20785"/>
                      <wp:lineTo x="11578" y="21424"/>
                      <wp:lineTo x="13025" y="21424"/>
                      <wp:lineTo x="17656" y="21104"/>
                      <wp:lineTo x="21419" y="18866"/>
                      <wp:lineTo x="21419" y="3517"/>
                      <wp:lineTo x="19393" y="640"/>
                      <wp:lineTo x="17656" y="640"/>
                      <wp:lineTo x="15630" y="640"/>
                    </wp:wrapPolygon>
                  </wp:wrapTight>
                  <wp:docPr id="4" name="图片 4" descr="/Users/zouyulin/Desktop/市科技局结题/图片留存/图片（缩写）/的副本 IL-1β.png的副本 IL-1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/Users/zouyulin/Desktop/市科技局结题/图片留存/图片（缩写）/的副本 IL-1β.png的副本 IL-1β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307" b="13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7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Serum TNF-α, IL-6, IL-11, and IL-1β levels in mice in each group  ( ***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iCs/>
                <w:color w:val="auto"/>
                <w:sz w:val="18"/>
                <w:szCs w:val="18"/>
                <w:highlight w:val="none"/>
              </w:rPr>
              <w:t>P&lt;0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.001)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EE9B9"/>
    <w:rsid w:val="7DFEE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2024-11-05T11:06:00Z</dcterms:created>
  <dc:creator>Aileen</dc:creator>
  <cp:lastModifiedBy>Aileen</cp:lastModifiedBy>
  <dcterms:modified xsi:type="dcterms:W3CDTF">2024-11-05T11:07:23Z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6FC8BDB6ACD4C7189D8B2967B687FFA1_41</vt:lpwstr>
  </property>
</Properties>
</file>