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9"/>
        <w:rPr>
          <w:rFonts w:ascii="Times New Roman" w:hAnsi="Times New Roman" w:cs="Times New Roman" w:eastAsiaTheme="majorEastAsia"/>
          <w:sz w:val="24"/>
          <w:highlight w:val="none"/>
        </w:rPr>
      </w:pPr>
      <w:r>
        <w:rPr>
          <w:rFonts w:hint="eastAsia" w:ascii="Times New Roman Bold" w:hAnsi="Times New Roman Bold" w:cs="Times New Roman Bold"/>
          <w:b/>
          <w:bCs/>
          <w:i w:val="0"/>
          <w:color w:val="auto"/>
          <w:sz w:val="18"/>
          <w:szCs w:val="18"/>
          <w:highlight w:val="none"/>
          <w:lang w:val="en-US" w:eastAsia="zh-CN"/>
        </w:rPr>
        <w:t>Table 4</w:t>
      </w:r>
      <w:r>
        <w:rPr>
          <w:rFonts w:hint="eastAsia" w:ascii="Times New Roman Bold" w:hAnsi="Times New Roman Bold" w:cs="Times New Roman Bold"/>
          <w:b/>
          <w:bCs/>
          <w:i w:val="0"/>
          <w:color w:val="auto"/>
          <w:sz w:val="18"/>
          <w:szCs w:val="18"/>
          <w:highlight w:val="none"/>
        </w:rPr>
        <w:t xml:space="preserve"> </w:t>
      </w:r>
      <w:r>
        <w:rPr>
          <w:rFonts w:hint="default" w:ascii="Times New Roman Bold" w:hAnsi="Times New Roman Bold" w:cs="Times New Roman Bold"/>
          <w:b/>
          <w:bCs/>
          <w:i w:val="0"/>
          <w:color w:val="auto"/>
          <w:sz w:val="18"/>
          <w:szCs w:val="18"/>
          <w:highlight w:val="none"/>
        </w:rPr>
        <w:t>Relative expression of miR-214 in liver tissues o</w:t>
      </w:r>
      <w:r>
        <w:rPr>
          <w:rFonts w:hint="default" w:ascii="Times New Roman Bold" w:hAnsi="Times New Roman Bold" w:cs="Times New Roman Bold"/>
          <w:b/>
          <w:bCs/>
          <w:i w:val="0"/>
          <w:color w:val="auto"/>
          <w:sz w:val="18"/>
          <w:szCs w:val="18"/>
          <w:highlight w:val="none"/>
          <w:lang w:val="en-US" w:eastAsia="zh-CN"/>
        </w:rPr>
        <w:t>f each group（</w:t>
      </w:r>
      <m:oMath>
        <m:acc>
          <m:accPr>
            <m:chr m:val="̅"/>
            <m:ctrlPr>
              <w:rPr>
                <w:rFonts w:hint="default" w:ascii="DejaVu Math TeX Gyre" w:hAnsi="DejaVu Math TeX Gyre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</m:ctrlPr>
          </m:accPr>
          <m:e>
            <m:r>
              <m:rPr>
                <m:sty m:val="b"/>
              </m:rPr>
              <w:rPr>
                <w:rFonts w:hint="default" w:ascii="DejaVu Math TeX Gyre" w:hAnsi="DejaVu Math TeX Gyre" w:cs="Times New Roman Bold"/>
                <w:color w:val="auto"/>
                <w:sz w:val="18"/>
                <w:szCs w:val="18"/>
                <w:highlight w:val="none"/>
                <w:lang w:val="en-US" w:eastAsia="zh-CN"/>
              </w:rPr>
              <m:t>x</m:t>
            </m:r>
            <m:ctrlPr>
              <w:rPr>
                <w:rFonts w:hint="default" w:ascii="DejaVu Math TeX Gyre" w:hAnsi="DejaVu Math TeX Gyre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</m:ctrlPr>
          </m:e>
        </m:acc>
      </m:oMath>
      <w:r>
        <w:rPr>
          <w:rFonts w:hint="default" w:ascii="Times New Roman Bold" w:hAnsi="Times New Roman Bold" w:cs="Times New Roman Bold"/>
          <w:b/>
          <w:bCs/>
          <w:i w:val="0"/>
          <w:color w:val="auto"/>
          <w:sz w:val="18"/>
          <w:szCs w:val="18"/>
          <w:highlight w:val="none"/>
          <w:lang w:val="en-US" w:eastAsia="zh-CN"/>
        </w:rPr>
        <w:t>±s，n＝15）</w:t>
      </w:r>
    </w:p>
    <w:tbl>
      <w:tblPr>
        <w:tblStyle w:val="4"/>
        <w:tblW w:w="48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0"/>
        <w:gridCol w:w="2587"/>
      </w:tblGrid>
      <w:tr>
        <w:trPr>
          <w:trHeight w:val="283" w:hRule="atLeast"/>
          <w:jc w:val="center"/>
        </w:trPr>
        <w:tc>
          <w:tcPr>
            <w:tcW w:w="231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  <w:highlight w:val="none"/>
                <w:lang w:bidi="ar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  <w:t>Group</w:t>
            </w:r>
          </w:p>
        </w:tc>
        <w:tc>
          <w:tcPr>
            <w:tcW w:w="258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</w:rPr>
              <w:t>miR-214</w:t>
            </w:r>
          </w:p>
        </w:tc>
      </w:tr>
      <w:tr>
        <w:trPr>
          <w:trHeight w:val="283" w:hRule="atLeast"/>
          <w:jc w:val="center"/>
        </w:trPr>
        <w:tc>
          <w:tcPr>
            <w:tcW w:w="231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>sham</w:t>
            </w:r>
          </w:p>
        </w:tc>
        <w:tc>
          <w:tcPr>
            <w:tcW w:w="258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</w:rPr>
              <w:t>1.69±0.11</w:t>
            </w:r>
          </w:p>
        </w:tc>
      </w:tr>
      <w:tr>
        <w:trPr>
          <w:trHeight w:val="283" w:hRule="atLeast"/>
          <w:jc w:val="center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>model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</w:rPr>
              <w:t>0.6±0.11</w:t>
            </w: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  <w:vertAlign w:val="superscript"/>
              </w:rPr>
              <w:t>a</w:t>
            </w:r>
          </w:p>
        </w:tc>
      </w:tr>
      <w:tr>
        <w:trPr>
          <w:trHeight w:val="283" w:hRule="atLeast"/>
          <w:jc w:val="center"/>
        </w:trPr>
        <w:tc>
          <w:tcPr>
            <w:tcW w:w="23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</w:rPr>
              <w:t>inhibitor</w:t>
            </w:r>
          </w:p>
        </w:tc>
        <w:tc>
          <w:tcPr>
            <w:tcW w:w="25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</w:rPr>
              <w:t>0.45±0.09</w:t>
            </w: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  <w:vertAlign w:val="superscript"/>
              </w:rPr>
              <w:t>abc</w:t>
            </w:r>
          </w:p>
        </w:tc>
      </w:tr>
      <w:tr>
        <w:trPr>
          <w:trHeight w:val="283" w:hRule="atLeast"/>
          <w:jc w:val="center"/>
        </w:trPr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asciiTheme="majorEastAsia" w:hAnsiTheme="majorEastAsia" w:eastAsiaTheme="majorEastAsia" w:cstheme="majorEastAsia"/>
                <w:kern w:val="0"/>
                <w:sz w:val="24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</w:rPr>
              <w:t>mimic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</w:rPr>
              <w:t>1.05±0.07</w:t>
            </w: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  <w:vertAlign w:val="superscript"/>
              </w:rPr>
              <w:t>abd</w:t>
            </w:r>
          </w:p>
        </w:tc>
      </w:tr>
    </w:tbl>
    <w:p>
      <w:pPr>
        <w:numPr>
          <w:ilvl w:val="0"/>
          <w:numId w:val="0"/>
        </w:numPr>
        <w:ind w:leftChars="0" w:firstLine="360" w:firstLineChars="200"/>
        <w:jc w:val="center"/>
        <w:rPr>
          <w:rFonts w:hint="eastAsia"/>
          <w:b w:val="0"/>
          <w:bCs w:val="0"/>
          <w:color w:val="auto"/>
          <w:highlight w:val="none"/>
          <w:lang w:val="en-US" w:eastAsia="zh-CN"/>
        </w:rPr>
      </w:pP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lang w:val="en-US" w:eastAsia="zh-CN"/>
        </w:rPr>
        <w:t xml:space="preserve">(Compared with sham, 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vertAlign w:val="superscript"/>
          <w:lang w:val="en-US" w:eastAsia="zh-CN"/>
        </w:rPr>
        <w:t>a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lang w:val="en-US" w:eastAsia="zh-CN"/>
        </w:rPr>
        <w:t xml:space="preserve">P&lt;0.001; compared with model, 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vertAlign w:val="superscript"/>
          <w:lang w:val="en-US" w:eastAsia="zh-CN"/>
        </w:rPr>
        <w:t>b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lang w:val="en-US" w:eastAsia="zh-CN"/>
        </w:rPr>
        <w:t xml:space="preserve">P&lt;0.001; compared with mimic, 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vertAlign w:val="superscript"/>
          <w:lang w:val="en-US" w:eastAsia="zh-CN"/>
        </w:rPr>
        <w:t>c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lang w:val="en-US" w:eastAsia="zh-CN"/>
        </w:rPr>
        <w:t xml:space="preserve">P&lt;0.001; compared with inhibitor , 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vertAlign w:val="superscript"/>
          <w:lang w:val="en-US" w:eastAsia="zh-CN"/>
        </w:rPr>
        <w:t>d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lang w:val="en-US" w:eastAsia="zh-CN"/>
        </w:rPr>
        <w:t>P&lt;0.001.)</w:t>
      </w:r>
    </w:p>
    <w:p>
      <w:pPr>
        <w:pStyle w:val="2"/>
        <w:ind w:firstLine="420" w:firstLineChars="200"/>
        <w:jc w:val="both"/>
        <w:rPr>
          <w:rFonts w:hint="eastAsia"/>
          <w:b w:val="0"/>
          <w:bCs w:val="0"/>
          <w:color w:val="auto"/>
          <w:highlight w:val="none"/>
          <w:lang w:val="en-US" w:eastAsia="zh-CN"/>
        </w:rPr>
      </w:pPr>
    </w:p>
    <w:tbl>
      <w:tblPr>
        <w:tblStyle w:val="5"/>
        <w:tblW w:w="0" w:type="auto"/>
        <w:tblInd w:w="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02" w:hRule="atLeast"/>
        </w:trPr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  <w:bookmarkStart w:id="0" w:name="_GoBack"/>
            <w:r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1483995</wp:posOffset>
                  </wp:positionH>
                  <wp:positionV relativeFrom="paragraph">
                    <wp:posOffset>47625</wp:posOffset>
                  </wp:positionV>
                  <wp:extent cx="2021840" cy="1673860"/>
                  <wp:effectExtent l="0" t="0" r="10160" b="2540"/>
                  <wp:wrapTight wrapText="bothSides">
                    <wp:wrapPolygon>
                      <wp:start x="15739" y="983"/>
                      <wp:lineTo x="6784" y="1967"/>
                      <wp:lineTo x="271" y="4261"/>
                      <wp:lineTo x="271" y="15077"/>
                      <wp:lineTo x="1357" y="16716"/>
                      <wp:lineTo x="2442" y="16716"/>
                      <wp:lineTo x="3256" y="19994"/>
                      <wp:lineTo x="12211" y="21305"/>
                      <wp:lineTo x="13568" y="21305"/>
                      <wp:lineTo x="17095" y="20977"/>
                      <wp:lineTo x="21437" y="18683"/>
                      <wp:lineTo x="21437" y="4589"/>
                      <wp:lineTo x="19266" y="1311"/>
                      <wp:lineTo x="18181" y="983"/>
                      <wp:lineTo x="15739" y="983"/>
                    </wp:wrapPolygon>
                  </wp:wrapTight>
                  <wp:docPr id="24" name="图片 24" descr="的副本 miR-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 descr="的副本 miR-21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1840" cy="167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color w:val="auto"/>
                <w:highlight w:val="none"/>
                <w:vertAlign w:val="baseline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</w:rPr>
              <w:t xml:space="preserve">Figure </w:t>
            </w:r>
            <w:r>
              <w:rPr>
                <w:rFonts w:hint="eastAsia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</w:rPr>
              <w:t xml:space="preserve"> Relative expression of miR-214 in liver tissues of each group ( *** </w:t>
            </w:r>
            <w:r>
              <w:rPr>
                <w:rFonts w:hint="default" w:ascii="Times New Roman Bold" w:hAnsi="Times New Roman Bold" w:cs="Times New Roman Bold"/>
                <w:b/>
                <w:bCs/>
                <w:i w:val="0"/>
                <w:iCs/>
                <w:color w:val="auto"/>
                <w:sz w:val="18"/>
                <w:szCs w:val="18"/>
                <w:highlight w:val="none"/>
              </w:rPr>
              <w:t>P&lt;0</w:t>
            </w: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</w:rPr>
              <w:t>.001)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FDF426C"/>
    <w:rsid w:val="CFDF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2024-11-05T11:10:00Z</dcterms:created>
  <dc:creator>Aileen</dc:creator>
  <cp:lastModifiedBy>Aileen</cp:lastModifiedBy>
  <dcterms:modified xsi:type="dcterms:W3CDTF">2024-11-05T11:11:11Z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DDAB3791028B6A81B68C2967757E7413_41</vt:lpwstr>
  </property>
</Properties>
</file>