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 Bold" w:hAnsi="Times New Roman Bold" w:cs="Times New Roman Bold" w:eastAsiaTheme="majorEastAsia"/>
          <w:b/>
          <w:bCs/>
          <w:sz w:val="18"/>
          <w:szCs w:val="18"/>
          <w:highlight w:val="none"/>
        </w:rPr>
      </w:pPr>
      <w:r>
        <w:rPr>
          <w:rFonts w:hint="default" w:ascii="Times New Roman Bold" w:hAnsi="Times New Roman Bold" w:cs="Times New Roman Bold" w:eastAsiaTheme="majorEastAsia"/>
          <w:b/>
          <w:bCs/>
          <w:sz w:val="18"/>
          <w:szCs w:val="18"/>
          <w:highlight w:val="none"/>
          <w:lang w:val="en-US" w:eastAsia="zh-CN"/>
        </w:rPr>
        <w:t>Table</w:t>
      </w:r>
      <w:r>
        <w:rPr>
          <w:rFonts w:hint="default" w:ascii="Times New Roman Bold" w:hAnsi="Times New Roman Bold" w:cs="Times New Roman Bold" w:eastAsiaTheme="majorEastAsia"/>
          <w:b/>
          <w:bCs/>
          <w:sz w:val="18"/>
          <w:szCs w:val="18"/>
          <w:highlight w:val="none"/>
        </w:rPr>
        <w:t xml:space="preserve"> 3 Liver histopathology scores of mice in each group</w:t>
      </w:r>
    </w:p>
    <w:tbl>
      <w:tblPr>
        <w:tblStyle w:val="3"/>
        <w:tblW w:w="45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3"/>
        <w:gridCol w:w="2143"/>
      </w:tblGrid>
      <w:tr>
        <w:trPr>
          <w:trHeight w:val="285" w:hRule="atLeast"/>
          <w:jc w:val="center"/>
        </w:trPr>
        <w:tc>
          <w:tcPr>
            <w:tcW w:w="239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Times New Roman" w:hAnsi="Times New Roman" w:cs="Times New Roman" w:eastAsiaTheme="majorEastAsia"/>
                <w:sz w:val="24"/>
                <w:highlight w:val="none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Group</w:t>
            </w:r>
          </w:p>
        </w:tc>
        <w:tc>
          <w:tcPr>
            <w:tcW w:w="21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cs="Times New Roman" w:eastAsiaTheme="majorEastAsia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Times New Roman Bold" w:hAnsi="Times New Roman Bold" w:cs="Times New Roman Bold" w:eastAsiaTheme="majorEastAsia"/>
                <w:b/>
                <w:bCs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hint="default" w:ascii="Times New Roman Bold" w:hAnsi="Times New Roman Bold" w:cs="Times New Roman Bold" w:eastAsiaTheme="majorEastAsia"/>
                <w:b/>
                <w:bCs/>
                <w:sz w:val="18"/>
                <w:szCs w:val="18"/>
                <w:highlight w:val="none"/>
              </w:rPr>
              <w:t>cores</w:t>
            </w:r>
          </w:p>
        </w:tc>
      </w:tr>
      <w:tr>
        <w:trPr>
          <w:trHeight w:val="270" w:hRule="atLeast"/>
          <w:jc w:val="center"/>
        </w:trPr>
        <w:tc>
          <w:tcPr>
            <w:tcW w:w="239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Times New Roman" w:hAnsi="Times New Roman" w:cs="Times New Roman" w:eastAsiaTheme="majorEastAsia"/>
                <w:sz w:val="24"/>
                <w:highlight w:val="none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sham</w:t>
            </w:r>
          </w:p>
        </w:tc>
        <w:tc>
          <w:tcPr>
            <w:tcW w:w="21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</w:tr>
      <w:tr>
        <w:trPr>
          <w:trHeight w:val="270" w:hRule="atLeast"/>
          <w:jc w:val="center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Times New Roman" w:hAnsi="Times New Roman" w:cs="Times New Roman" w:eastAsiaTheme="majorEastAsia"/>
                <w:sz w:val="24"/>
                <w:highlight w:val="none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model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11.60±0.13</w:t>
            </w: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a</w:t>
            </w:r>
          </w:p>
        </w:tc>
      </w:tr>
      <w:tr>
        <w:trPr>
          <w:trHeight w:val="285" w:hRule="atLeast"/>
          <w:jc w:val="center"/>
        </w:trPr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Times New Roman" w:hAnsi="Times New Roman" w:cs="Times New Roman" w:eastAsiaTheme="majorEastAsia"/>
                <w:sz w:val="24"/>
                <w:highlight w:val="none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inhibitor</w:t>
            </w:r>
          </w:p>
        </w:tc>
        <w:tc>
          <w:tcPr>
            <w:tcW w:w="21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13.87±0.22</w:t>
            </w: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abc</w:t>
            </w:r>
          </w:p>
        </w:tc>
      </w:tr>
      <w:tr>
        <w:trPr>
          <w:trHeight w:val="285" w:hRule="atLeast"/>
          <w:jc w:val="center"/>
        </w:trPr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Times New Roman" w:hAnsi="Times New Roman" w:cs="Times New Roman" w:eastAsiaTheme="majorEastAsia"/>
                <w:sz w:val="24"/>
                <w:highlight w:val="none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</w:rPr>
              <w:t>mimic</w:t>
            </w:r>
          </w:p>
        </w:tc>
        <w:tc>
          <w:tcPr>
            <w:tcW w:w="21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7.2±0.46</w:t>
            </w:r>
            <w:r>
              <w:rPr>
                <w:rFonts w:hint="default" w:ascii="Times New Roman Regular" w:hAnsi="Times New Roman Regular" w:cs="Times New Roman Regular" w:eastAsiaTheme="minorEastAsia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abd</w:t>
            </w:r>
          </w:p>
        </w:tc>
      </w:tr>
    </w:tbl>
    <w:p>
      <w:pPr>
        <w:numPr>
          <w:ilvl w:val="0"/>
          <w:numId w:val="0"/>
        </w:numPr>
        <w:ind w:leftChars="0" w:firstLine="360" w:firstLineChars="200"/>
        <w:jc w:val="center"/>
        <w:rPr>
          <w:rFonts w:hint="eastAsia"/>
          <w:color w:val="auto"/>
          <w:sz w:val="18"/>
          <w:szCs w:val="18"/>
          <w:highlight w:val="none"/>
          <w:lang w:val="en-US" w:eastAsia="zh-CN"/>
        </w:rPr>
      </w:pP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(Compared with sham,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a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model,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b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mimic,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c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 xml:space="preserve">P&lt;0.001; compared with inhibitor , 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vertAlign w:val="superscript"/>
          <w:lang w:val="en-US" w:eastAsia="zh-CN"/>
        </w:rPr>
        <w:t>d</w:t>
      </w:r>
      <w:r>
        <w:rPr>
          <w:rFonts w:hint="default" w:ascii="Times New Roman Regular" w:hAnsi="Times New Roman Regular" w:cs="Times New Roman Regular"/>
          <w:b w:val="0"/>
          <w:color w:val="auto"/>
          <w:sz w:val="18"/>
          <w:szCs w:val="18"/>
          <w:highlight w:val="none"/>
          <w:lang w:val="en-US" w:eastAsia="zh-CN"/>
        </w:rPr>
        <w:t>P&lt;0.001.)</w:t>
      </w:r>
    </w:p>
    <w:p>
      <w:pPr>
        <w:jc w:val="both"/>
        <w:rPr>
          <w:rFonts w:hint="eastAsia"/>
          <w:b w:val="0"/>
          <w:bCs w:val="0"/>
          <w:color w:val="auto"/>
          <w:highlight w:val="none"/>
          <w:lang w:val="en-US" w:eastAsia="zh-CN"/>
        </w:rPr>
      </w:pPr>
    </w:p>
    <w:tbl>
      <w:tblPr>
        <w:tblStyle w:val="4"/>
        <w:tblW w:w="0" w:type="auto"/>
        <w:tblInd w:w="10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02" w:hRule="atLeast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20955</wp:posOffset>
                  </wp:positionV>
                  <wp:extent cx="1883410" cy="1745615"/>
                  <wp:effectExtent l="0" t="0" r="21590" b="6985"/>
                  <wp:wrapNone/>
                  <wp:docPr id="15" name="图片 15" descr="的副本 Pathology Sc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的副本 Pathology Score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410" cy="174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color w:val="auto"/>
                <w:highlight w:val="none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color w:val="auto"/>
                <w:highlight w:val="none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color w:val="auto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highlight w:val="none"/>
                <w:vertAlign w:val="baseline"/>
              </w:rPr>
            </w:pP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Figure </w:t>
            </w:r>
            <w:r>
              <w:rPr>
                <w:rFonts w:hint="eastAsia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  <w:lang w:val="en-US" w:eastAsia="zh-CN"/>
              </w:rPr>
              <w:t>3b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 xml:space="preserve"> Liver histopathology scores of mice in each group ( *** 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iCs/>
                <w:color w:val="auto"/>
                <w:sz w:val="18"/>
                <w:szCs w:val="18"/>
                <w:highlight w:val="none"/>
              </w:rPr>
              <w:t>P&lt;0</w:t>
            </w:r>
            <w:r>
              <w:rPr>
                <w:rFonts w:hint="default" w:ascii="Times New Roman Bold" w:hAnsi="Times New Roman Bold" w:cs="Times New Roman Bold"/>
                <w:b/>
                <w:bCs/>
                <w:i w:val="0"/>
                <w:color w:val="auto"/>
                <w:sz w:val="18"/>
                <w:szCs w:val="18"/>
                <w:highlight w:val="none"/>
              </w:rPr>
              <w:t>.001)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CFD73CD"/>
    <w:rsid w:val="BCFD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2024-11-05T11:07:00Z</dcterms:created>
  <dc:creator>Aileen</dc:creator>
  <cp:lastModifiedBy>Aileen</cp:lastModifiedBy>
  <dcterms:modified xsi:type="dcterms:W3CDTF">2024-11-05T11:08:41Z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DE3B14FC7C5767510A8C2967C3D3EF83_41</vt:lpwstr>
  </property>
</Properties>
</file>