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6B875" w14:textId="77777777" w:rsidR="00A533A0" w:rsidRPr="00A533A0" w:rsidRDefault="00A533A0" w:rsidP="00A533A0">
      <w:pPr>
        <w:rPr>
          <w:lang w:val="en-GB"/>
        </w:rPr>
      </w:pPr>
    </w:p>
    <w:p w14:paraId="3AD2478B" w14:textId="7DCBCEA5" w:rsidR="00A533A0" w:rsidRPr="00A533A0" w:rsidRDefault="00A533A0" w:rsidP="00A533A0">
      <w:pPr>
        <w:rPr>
          <w:b/>
          <w:bCs/>
          <w:i/>
          <w:iCs/>
          <w:lang w:val="en-GB"/>
        </w:rPr>
      </w:pPr>
      <w:r w:rsidRPr="00A533A0">
        <w:rPr>
          <w:b/>
          <w:bCs/>
          <w:lang w:val="en-GB"/>
        </w:rPr>
        <w:t>The Study</w:t>
      </w:r>
    </w:p>
    <w:p w14:paraId="300F60AF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Our study was centred around addressing several key questions.</w:t>
      </w:r>
    </w:p>
    <w:p w14:paraId="58FCF476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First and foremost, we sought to understand the diverse ways in</w:t>
      </w:r>
    </w:p>
    <w:p w14:paraId="7B3B395E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which people express care for the potential air-purifying living</w:t>
      </w:r>
    </w:p>
    <w:p w14:paraId="2A14B792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 xml:space="preserve">cyanobacteria artefact, and the underlying motivations behind </w:t>
      </w:r>
      <w:proofErr w:type="gramStart"/>
      <w:r w:rsidRPr="00A533A0">
        <w:rPr>
          <w:lang w:val="en-GB"/>
        </w:rPr>
        <w:t>their</w:t>
      </w:r>
      <w:proofErr w:type="gramEnd"/>
    </w:p>
    <w:p w14:paraId="77D32F95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chosen approaches. Furthermore, we were keen to explore the</w:t>
      </w:r>
    </w:p>
    <w:p w14:paraId="7BD55545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significant role that materiality plays within this context, shedding</w:t>
      </w:r>
    </w:p>
    <w:p w14:paraId="423538B8" w14:textId="77777777" w:rsidR="00A533A0" w:rsidRPr="00A533A0" w:rsidRDefault="00A533A0" w:rsidP="00A533A0">
      <w:pPr>
        <w:rPr>
          <w:i/>
          <w:iCs/>
          <w:lang w:val="en-GB"/>
        </w:rPr>
      </w:pPr>
      <w:r w:rsidRPr="00A533A0">
        <w:rPr>
          <w:lang w:val="en-GB"/>
        </w:rPr>
        <w:t>light on how it shapes caregiving practices.</w:t>
      </w:r>
    </w:p>
    <w:p w14:paraId="0ECDC00A" w14:textId="77777777" w:rsidR="00A533A0" w:rsidRPr="00A533A0" w:rsidRDefault="00A533A0" w:rsidP="00A533A0">
      <w:pPr>
        <w:rPr>
          <w:i/>
          <w:iCs/>
          <w:lang w:val="en-GB"/>
        </w:rPr>
      </w:pPr>
    </w:p>
    <w:p w14:paraId="064D0745" w14:textId="765E4728" w:rsidR="00A533A0" w:rsidRPr="00A533A0" w:rsidRDefault="00A533A0" w:rsidP="00A533A0">
      <w:pPr>
        <w:rPr>
          <w:lang w:val="en-GB"/>
        </w:rPr>
      </w:pPr>
      <w:r w:rsidRPr="00A533A0">
        <w:rPr>
          <w:b/>
          <w:bCs/>
          <w:lang w:val="en-GB"/>
        </w:rPr>
        <w:t>Participants</w:t>
      </w:r>
    </w:p>
    <w:p w14:paraId="541C880E" w14:textId="77777777" w:rsidR="00A533A0" w:rsidRPr="00A533A0" w:rsidRDefault="00A533A0" w:rsidP="00A533A0">
      <w:pPr>
        <w:rPr>
          <w:lang w:val="en-GB"/>
        </w:rPr>
      </w:pPr>
    </w:p>
    <w:p w14:paraId="659C5E72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Our study was conducted with eight participants</w:t>
      </w:r>
    </w:p>
    <w:p w14:paraId="3AE021B1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 xml:space="preserve">(table 1), between the ages of 27 to 68, and from </w:t>
      </w:r>
      <w:proofErr w:type="gramStart"/>
      <w:r w:rsidRPr="00A533A0">
        <w:rPr>
          <w:lang w:val="en-GB"/>
        </w:rPr>
        <w:t>fairly distributed</w:t>
      </w:r>
      <w:proofErr w:type="gramEnd"/>
    </w:p>
    <w:p w14:paraId="43795AD1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genders. Our selection criteria for participants included</w:t>
      </w:r>
    </w:p>
    <w:p w14:paraId="219DE3C3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1) that they lived within the Netherlands, and 2) that they had</w:t>
      </w:r>
    </w:p>
    <w:p w14:paraId="41376F87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previous and varied experiences of caring for other-than-human</w:t>
      </w:r>
    </w:p>
    <w:p w14:paraId="06BE7705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living beings. Some of them did not take care of plants well (i.e.</w:t>
      </w:r>
    </w:p>
    <w:p w14:paraId="53E8C0A6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claiming themselves to be a plant “killer”), while others took care</w:t>
      </w:r>
    </w:p>
    <w:p w14:paraId="2333853C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of living things as a hobby, obligation, or job. The people who took</w:t>
      </w:r>
    </w:p>
    <w:p w14:paraId="0A8B1BFA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care of living things as a hobby enjoyed taking care of plants or</w:t>
      </w:r>
    </w:p>
    <w:p w14:paraId="15BCFCBF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gardening, while those who took care of them as an obligation had</w:t>
      </w:r>
    </w:p>
    <w:p w14:paraId="0E38E456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to do so for making beer or kombucha. Lastly, some people had</w:t>
      </w:r>
    </w:p>
    <w:p w14:paraId="379C6C84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jobs where they took care of living things, such as biologists who</w:t>
      </w:r>
    </w:p>
    <w:p w14:paraId="06FBE36A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worked in laboratories. The diverse experiences in caretaking may</w:t>
      </w:r>
    </w:p>
    <w:p w14:paraId="08501CB9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increase risk of “care failure”, e.g., with participants who claimed</w:t>
      </w:r>
    </w:p>
    <w:p w14:paraId="046A9610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lastRenderedPageBreak/>
        <w:t>to fail in plant care. However, it ensured that we could observe a</w:t>
      </w:r>
    </w:p>
    <w:p w14:paraId="080BA7C7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wider range of motivations and creativity in caretaking for a novel</w:t>
      </w:r>
    </w:p>
    <w:p w14:paraId="4230271A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living being. We did not recruit people who had children under 12</w:t>
      </w:r>
    </w:p>
    <w:p w14:paraId="4C58F7EC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years old, to minimise any possible damage or accidental ingestion</w:t>
      </w:r>
    </w:p>
    <w:p w14:paraId="0C2BECA8" w14:textId="77777777" w:rsidR="00A533A0" w:rsidRPr="00A533A0" w:rsidRDefault="00A533A0" w:rsidP="00A533A0">
      <w:pPr>
        <w:rPr>
          <w:i/>
          <w:iCs/>
          <w:lang w:val="en-GB"/>
        </w:rPr>
      </w:pPr>
      <w:r w:rsidRPr="00A533A0">
        <w:rPr>
          <w:lang w:val="en-GB"/>
        </w:rPr>
        <w:t>of the artefact. All participants undertook the study voluntarily.</w:t>
      </w:r>
    </w:p>
    <w:p w14:paraId="0C22AD4B" w14:textId="77777777" w:rsidR="00A533A0" w:rsidRPr="00A533A0" w:rsidRDefault="00A533A0" w:rsidP="00A533A0">
      <w:pPr>
        <w:rPr>
          <w:i/>
          <w:iCs/>
          <w:lang w:val="en-GB"/>
        </w:rPr>
      </w:pPr>
    </w:p>
    <w:p w14:paraId="295EDBEE" w14:textId="77777777" w:rsidR="00A533A0" w:rsidRPr="00A533A0" w:rsidRDefault="00A533A0" w:rsidP="00A533A0">
      <w:pPr>
        <w:rPr>
          <w:lang w:val="en-GB"/>
        </w:rPr>
      </w:pPr>
      <w:r w:rsidRPr="00A533A0">
        <w:rPr>
          <w:b/>
          <w:bCs/>
          <w:lang w:val="en-GB"/>
        </w:rPr>
        <w:t>Procedure</w:t>
      </w:r>
    </w:p>
    <w:p w14:paraId="37281074" w14:textId="77777777" w:rsidR="00A533A0" w:rsidRPr="00A533A0" w:rsidRDefault="00A533A0" w:rsidP="00A533A0">
      <w:pPr>
        <w:rPr>
          <w:lang w:val="en-GB"/>
        </w:rPr>
      </w:pPr>
    </w:p>
    <w:p w14:paraId="170C0790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We first sent out invitation letters to potential</w:t>
      </w:r>
    </w:p>
    <w:p w14:paraId="438AD57C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participants, in which we explained that we were interested in what</w:t>
      </w:r>
    </w:p>
    <w:p w14:paraId="402CDC66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it is like for people to live with living artefacts - everyday artefacts</w:t>
      </w:r>
    </w:p>
    <w:p w14:paraId="1410138B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containing living organisms for advanced functionalities (e.g., to</w:t>
      </w:r>
    </w:p>
    <w:p w14:paraId="47CA70D8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purify air, to self-repair, etc.). We asked them to live with and care</w:t>
      </w:r>
    </w:p>
    <w:p w14:paraId="3C57F4E5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for the living cyanobacteria artefact over two weeks at their homes,</w:t>
      </w:r>
    </w:p>
    <w:p w14:paraId="155ADAA6" w14:textId="77777777" w:rsidR="00A533A0" w:rsidRPr="00A533A0" w:rsidRDefault="00A533A0" w:rsidP="00A533A0">
      <w:pPr>
        <w:rPr>
          <w:i/>
          <w:iCs/>
          <w:lang w:val="en-GB"/>
        </w:rPr>
      </w:pPr>
      <w:r w:rsidRPr="00A533A0">
        <w:rPr>
          <w:lang w:val="en-GB"/>
        </w:rPr>
        <w:t>and to share their daily experience and reflections with us.</w:t>
      </w:r>
    </w:p>
    <w:p w14:paraId="5982C388" w14:textId="77777777" w:rsidR="00A533A0" w:rsidRPr="00A533A0" w:rsidRDefault="00A533A0" w:rsidP="00A533A0">
      <w:pPr>
        <w:rPr>
          <w:i/>
          <w:iCs/>
          <w:lang w:val="en-GB"/>
        </w:rPr>
      </w:pPr>
    </w:p>
    <w:p w14:paraId="08941F36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The study was undertaken in three phases. First, we delivered the</w:t>
      </w:r>
    </w:p>
    <w:p w14:paraId="357E1630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artefact to participants’ homes, accompanied by instruction cards</w:t>
      </w:r>
    </w:p>
    <w:p w14:paraId="4125F26C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that introduced the artefact and the study requirements (figure</w:t>
      </w:r>
    </w:p>
    <w:p w14:paraId="67D201E8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13). These cards informed participants that the artefact contained</w:t>
      </w:r>
    </w:p>
    <w:p w14:paraId="7EA017F7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living cyanobacteria, which are capable of absorbing CO2 from</w:t>
      </w:r>
    </w:p>
    <w:p w14:paraId="5EC45424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their surroundings and emitting fresh oxygen, thus potentially purifying</w:t>
      </w:r>
    </w:p>
    <w:p w14:paraId="2CDCDB32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the air. Participants were directed to position the artefact</w:t>
      </w:r>
    </w:p>
    <w:p w14:paraId="2FD1D925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in locations where air purification was considered necessary and</w:t>
      </w:r>
    </w:p>
    <w:p w14:paraId="20841AF6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light conditions advantageous for its well-being. Additionally, we</w:t>
      </w:r>
    </w:p>
    <w:p w14:paraId="070B23E4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presented the artefact’s preferred light conditions, and its colour</w:t>
      </w:r>
    </w:p>
    <w:p w14:paraId="516C911B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lastRenderedPageBreak/>
        <w:t>changes signalling its well-being state. They were asked to take a</w:t>
      </w:r>
    </w:p>
    <w:p w14:paraId="4D07AA40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photo of the artefact and its surroundings whenever they observed</w:t>
      </w:r>
    </w:p>
    <w:p w14:paraId="3A1B333D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a colour change, and in case they relocated it or altered its form.</w:t>
      </w:r>
    </w:p>
    <w:p w14:paraId="40898AC5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They were prompted every 2 or 3 days by the first author to share</w:t>
      </w:r>
    </w:p>
    <w:p w14:paraId="779D78B6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texts or photos through their preferred digital platforms (e.g., WhatsApp</w:t>
      </w:r>
    </w:p>
    <w:p w14:paraId="6F2CD374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and email). Furthermore, they were also encouraged to assign</w:t>
      </w:r>
    </w:p>
    <w:p w14:paraId="25B8F437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 xml:space="preserve">nicknames to the artefact, </w:t>
      </w:r>
      <w:proofErr w:type="gramStart"/>
      <w:r w:rsidRPr="00A533A0">
        <w:rPr>
          <w:lang w:val="en-GB"/>
        </w:rPr>
        <w:t>as a way to</w:t>
      </w:r>
      <w:proofErr w:type="gramEnd"/>
      <w:r w:rsidRPr="00A533A0">
        <w:rPr>
          <w:lang w:val="en-GB"/>
        </w:rPr>
        <w:t xml:space="preserve"> familiarise with it. Complete</w:t>
      </w:r>
    </w:p>
    <w:p w14:paraId="437DAB2F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instructions can be found in the appendix. Upon delivery of the</w:t>
      </w:r>
    </w:p>
    <w:p w14:paraId="471D15AC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artefact, we conducted an initial interview to gain insights into</w:t>
      </w:r>
    </w:p>
    <w:p w14:paraId="41D53B08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the participant’s routines and took a photo of their living rooms.</w:t>
      </w:r>
    </w:p>
    <w:p w14:paraId="2C4669B0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The second phase of the study involved semi-structured interviews,</w:t>
      </w:r>
    </w:p>
    <w:p w14:paraId="24515F3A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lasting 30 to 60 minutes, conducted at the one-week mark of the</w:t>
      </w:r>
    </w:p>
    <w:p w14:paraId="60BF0930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study. At the end of the study, we conducted a follow-up interview.</w:t>
      </w:r>
    </w:p>
    <w:p w14:paraId="1BD05D77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Most interviews took place at participants’ homes, with four</w:t>
      </w:r>
    </w:p>
    <w:p w14:paraId="239E6EB5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of them taking place over Zoom. The questions were designed to</w:t>
      </w:r>
    </w:p>
    <w:p w14:paraId="1009CC61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 xml:space="preserve">build upon the cumulative nature of the study, with </w:t>
      </w:r>
      <w:proofErr w:type="gramStart"/>
      <w:r w:rsidRPr="00A533A0">
        <w:rPr>
          <w:lang w:val="en-GB"/>
        </w:rPr>
        <w:t>second-week</w:t>
      </w:r>
      <w:proofErr w:type="gramEnd"/>
    </w:p>
    <w:p w14:paraId="62F268AC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interview questions shaped by the responses gathered during the</w:t>
      </w:r>
    </w:p>
    <w:p w14:paraId="08A67A9C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one-week interviews. In total, the study generated approximately 6</w:t>
      </w:r>
    </w:p>
    <w:p w14:paraId="75BA6A44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hours of verbal interview data, along with 79 self-reported and 64</w:t>
      </w:r>
    </w:p>
    <w:p w14:paraId="0B8BAA5E" w14:textId="77777777" w:rsidR="00A533A0" w:rsidRPr="00A533A0" w:rsidRDefault="00A533A0" w:rsidP="00A533A0">
      <w:pPr>
        <w:rPr>
          <w:lang w:val="en-GB"/>
        </w:rPr>
      </w:pPr>
      <w:r w:rsidRPr="00A533A0">
        <w:rPr>
          <w:lang w:val="en-GB"/>
        </w:rPr>
        <w:t>researcher-captured photos collected after each site visit.</w:t>
      </w:r>
    </w:p>
    <w:p w14:paraId="1792E9AA" w14:textId="77777777" w:rsidR="001535D9" w:rsidRDefault="001535D9" w:rsidP="001535D9">
      <w:pPr>
        <w:rPr>
          <w:b/>
          <w:bCs/>
          <w:lang w:val="en-GB"/>
        </w:rPr>
      </w:pPr>
    </w:p>
    <w:p w14:paraId="6C4FD152" w14:textId="4D1E1EDD" w:rsidR="001535D9" w:rsidRPr="001535D9" w:rsidRDefault="001535D9" w:rsidP="001535D9">
      <w:pPr>
        <w:rPr>
          <w:b/>
          <w:bCs/>
          <w:lang w:val="en-GB"/>
        </w:rPr>
      </w:pPr>
      <w:r w:rsidRPr="001535D9">
        <w:rPr>
          <w:b/>
          <w:bCs/>
          <w:lang w:val="en-GB"/>
        </w:rPr>
        <w:t xml:space="preserve">Interview Questions. </w:t>
      </w:r>
    </w:p>
    <w:p w14:paraId="44CB7C7F" w14:textId="0AD36ED6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Our interview inquiries focused on the</w:t>
      </w:r>
    </w:p>
    <w:p w14:paraId="4D73E7AE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evolution of care practices. It’s worth mentioning that we deliberately</w:t>
      </w:r>
    </w:p>
    <w:p w14:paraId="728BEC5A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refrained from directly probing participants about the concept</w:t>
      </w:r>
    </w:p>
    <w:p w14:paraId="7CF73958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of "materiality". Instead, we gleaned insights about its influence</w:t>
      </w:r>
    </w:p>
    <w:p w14:paraId="335FE087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lastRenderedPageBreak/>
        <w:t>by synthesizing evidence from their comprehensive encounters</w:t>
      </w:r>
    </w:p>
    <w:p w14:paraId="003562C1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with the artefact, thereby mitigating potential biases and ensuring</w:t>
      </w:r>
    </w:p>
    <w:p w14:paraId="1B1A3313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 xml:space="preserve">that our questions remained accessible. In formulating </w:t>
      </w:r>
      <w:proofErr w:type="gramStart"/>
      <w:r w:rsidRPr="001535D9">
        <w:rPr>
          <w:lang w:val="en-GB"/>
        </w:rPr>
        <w:t>our</w:t>
      </w:r>
      <w:proofErr w:type="gramEnd"/>
    </w:p>
    <w:p w14:paraId="572612C7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interview questions, we drew inspiration from Maria Puig de la</w:t>
      </w:r>
    </w:p>
    <w:p w14:paraId="6AAB5154" w14:textId="77777777" w:rsidR="001535D9" w:rsidRPr="001535D9" w:rsidRDefault="001535D9" w:rsidP="001535D9">
      <w:pPr>
        <w:rPr>
          <w:lang w:val="en-GB"/>
        </w:rPr>
      </w:pPr>
      <w:proofErr w:type="spellStart"/>
      <w:r w:rsidRPr="001535D9">
        <w:rPr>
          <w:lang w:val="en-GB"/>
        </w:rPr>
        <w:t>Bellacasa’s</w:t>
      </w:r>
      <w:proofErr w:type="spellEnd"/>
      <w:r w:rsidRPr="001535D9">
        <w:rPr>
          <w:lang w:val="en-GB"/>
        </w:rPr>
        <w:t xml:space="preserve"> feminist care ethics framework, which has been increasingly</w:t>
      </w:r>
    </w:p>
    <w:p w14:paraId="495BF914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discussed in recent HCI and design venues (see, for example,</w:t>
      </w:r>
    </w:p>
    <w:p w14:paraId="686F4DE1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 xml:space="preserve">[16, 37]). De la </w:t>
      </w:r>
      <w:proofErr w:type="spellStart"/>
      <w:r w:rsidRPr="001535D9">
        <w:rPr>
          <w:lang w:val="en-GB"/>
        </w:rPr>
        <w:t>Bellacasa</w:t>
      </w:r>
      <w:proofErr w:type="spellEnd"/>
      <w:r w:rsidRPr="001535D9">
        <w:rPr>
          <w:lang w:val="en-GB"/>
        </w:rPr>
        <w:t xml:space="preserve"> emphasises the interplay between “knowing”</w:t>
      </w:r>
    </w:p>
    <w:p w14:paraId="110B93DF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and “caring”, and unpacks care towards the more-than-human</w:t>
      </w:r>
    </w:p>
    <w:p w14:paraId="04349168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worlds with three mutually dependent and challenging aspects:</w:t>
      </w:r>
    </w:p>
    <w:p w14:paraId="6FBAE984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labour/work, affect/affections, ethics/politics. She also highlights the</w:t>
      </w:r>
    </w:p>
    <w:p w14:paraId="709D69A2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need to “make time” for care doings for other-than-human living</w:t>
      </w:r>
    </w:p>
    <w:p w14:paraId="61EA4F48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beings. We also incorporated the notion of mutualistic care</w:t>
      </w:r>
    </w:p>
    <w:p w14:paraId="08138EC6" w14:textId="74F0587E" w:rsidR="00A533A0" w:rsidRPr="001535D9" w:rsidRDefault="001535D9" w:rsidP="001535D9">
      <w:pPr>
        <w:rPr>
          <w:lang w:val="en-GB"/>
        </w:rPr>
      </w:pPr>
      <w:r w:rsidRPr="001535D9">
        <w:rPr>
          <w:lang w:val="en-GB"/>
        </w:rPr>
        <w:t xml:space="preserve">in </w:t>
      </w:r>
      <w:proofErr w:type="spellStart"/>
      <w:r w:rsidRPr="001535D9">
        <w:rPr>
          <w:lang w:val="en-GB"/>
        </w:rPr>
        <w:t>biodesign</w:t>
      </w:r>
      <w:proofErr w:type="spellEnd"/>
      <w:r w:rsidRPr="001535D9">
        <w:rPr>
          <w:lang w:val="en-GB"/>
        </w:rPr>
        <w:t xml:space="preserve"> [42] in the formulation of our questions. Specifically,</w:t>
      </w:r>
    </w:p>
    <w:p w14:paraId="7740CB2B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we focused on how care relations with living artefacts can be reciprocal</w:t>
      </w:r>
    </w:p>
    <w:p w14:paraId="0BBF2091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and evolving, and what role living aesthetics (i.e., how</w:t>
      </w:r>
    </w:p>
    <w:p w14:paraId="3E511C63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changes in living materials are experienced by people) plays in the</w:t>
      </w:r>
    </w:p>
    <w:p w14:paraId="48BAE745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establishment of mutualistic care, within this framework [42].</w:t>
      </w:r>
    </w:p>
    <w:p w14:paraId="45470BB9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Accordingly, we synergized interview questions into the following</w:t>
      </w:r>
    </w:p>
    <w:p w14:paraId="519980E3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five categories (table 2): 1) Knowing and relating to the</w:t>
      </w:r>
    </w:p>
    <w:p w14:paraId="08F265A7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organism: How are care actions facilitated through noticing the</w:t>
      </w:r>
    </w:p>
    <w:p w14:paraId="56325B55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living aesthetics of the artefact? 2) Affection: How does affection</w:t>
      </w:r>
    </w:p>
    <w:p w14:paraId="64E6B766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evolve through care actions towards the artefact? 3) Performances</w:t>
      </w:r>
    </w:p>
    <w:p w14:paraId="0216B700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and reciprocity: How do care actions evolve? How do participants</w:t>
      </w:r>
    </w:p>
    <w:p w14:paraId="3C77208A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navigate their performances between the function of the artefact</w:t>
      </w:r>
    </w:p>
    <w:p w14:paraId="4128280D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- air-purifying - and their care for the artefact? 4) Making time</w:t>
      </w:r>
    </w:p>
    <w:p w14:paraId="3C954401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t>for care: How does taking care of the artefact influence people’s</w:t>
      </w:r>
    </w:p>
    <w:p w14:paraId="455EA691" w14:textId="77777777" w:rsidR="001535D9" w:rsidRPr="001535D9" w:rsidRDefault="001535D9" w:rsidP="001535D9">
      <w:pPr>
        <w:rPr>
          <w:lang w:val="en-GB"/>
        </w:rPr>
      </w:pPr>
      <w:r w:rsidRPr="001535D9">
        <w:rPr>
          <w:lang w:val="en-GB"/>
        </w:rPr>
        <w:lastRenderedPageBreak/>
        <w:t>everyday routines? 5) Motivations of care: Why do people care for</w:t>
      </w:r>
    </w:p>
    <w:p w14:paraId="3434378D" w14:textId="5B28D819" w:rsidR="001535D9" w:rsidRPr="00A533A0" w:rsidRDefault="001535D9" w:rsidP="001535D9">
      <w:pPr>
        <w:rPr>
          <w:lang w:val="en-GB"/>
        </w:rPr>
      </w:pPr>
      <w:r w:rsidRPr="001535D9">
        <w:rPr>
          <w:lang w:val="en-GB"/>
        </w:rPr>
        <w:t>the living artefact?</w:t>
      </w:r>
    </w:p>
    <w:p w14:paraId="0A973220" w14:textId="29959802" w:rsidR="00A533A0" w:rsidRDefault="00A533A0">
      <w:pPr>
        <w:rPr>
          <w:lang w:val="en-GB"/>
        </w:rPr>
      </w:pPr>
      <w:r>
        <w:rPr>
          <w:lang w:val="en-GB"/>
        </w:rPr>
        <w:br w:type="page"/>
      </w:r>
    </w:p>
    <w:p w14:paraId="6AF53DF8" w14:textId="3EC8DBB7" w:rsidR="002C20EE" w:rsidRPr="00A533A0" w:rsidRDefault="00A533A0">
      <w:pPr>
        <w:rPr>
          <w:lang w:val="en-GB"/>
        </w:rPr>
      </w:pPr>
      <w:r w:rsidRPr="00A533A0">
        <w:rPr>
          <w:lang w:val="en-GB"/>
        </w:rPr>
        <w:lastRenderedPageBreak/>
        <w:drawing>
          <wp:inline distT="0" distB="0" distL="0" distR="0" wp14:anchorId="3AA1D399" wp14:editId="4C62A712">
            <wp:extent cx="5943600" cy="7372350"/>
            <wp:effectExtent l="0" t="0" r="0" b="6350"/>
            <wp:docPr id="974666505" name="Picture 1" descr="A questionnaire with text and imag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666505" name="Picture 1" descr="A questionnaire with text and image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20EE" w:rsidRPr="00A533A0" w:rsidSect="00A533A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A0"/>
    <w:rsid w:val="0000170F"/>
    <w:rsid w:val="0001776A"/>
    <w:rsid w:val="00027682"/>
    <w:rsid w:val="00076728"/>
    <w:rsid w:val="0011794E"/>
    <w:rsid w:val="001202A8"/>
    <w:rsid w:val="001535D9"/>
    <w:rsid w:val="00181522"/>
    <w:rsid w:val="001B41D1"/>
    <w:rsid w:val="001B7710"/>
    <w:rsid w:val="00200A05"/>
    <w:rsid w:val="00256C44"/>
    <w:rsid w:val="002719D9"/>
    <w:rsid w:val="00295CA8"/>
    <w:rsid w:val="002C20EE"/>
    <w:rsid w:val="002D43CA"/>
    <w:rsid w:val="00330F8F"/>
    <w:rsid w:val="00334930"/>
    <w:rsid w:val="003364C8"/>
    <w:rsid w:val="00396368"/>
    <w:rsid w:val="003A09D2"/>
    <w:rsid w:val="003E0A99"/>
    <w:rsid w:val="003E798C"/>
    <w:rsid w:val="00475A9C"/>
    <w:rsid w:val="004836D7"/>
    <w:rsid w:val="004D7DF1"/>
    <w:rsid w:val="00522BC0"/>
    <w:rsid w:val="00587AE1"/>
    <w:rsid w:val="00594D12"/>
    <w:rsid w:val="005960BA"/>
    <w:rsid w:val="00596711"/>
    <w:rsid w:val="005B1DCF"/>
    <w:rsid w:val="005D4DFF"/>
    <w:rsid w:val="006306F5"/>
    <w:rsid w:val="006509D1"/>
    <w:rsid w:val="00691625"/>
    <w:rsid w:val="006B421E"/>
    <w:rsid w:val="006D5844"/>
    <w:rsid w:val="007A09AA"/>
    <w:rsid w:val="007A3FB8"/>
    <w:rsid w:val="007B7CF5"/>
    <w:rsid w:val="007C32F2"/>
    <w:rsid w:val="007E7AE5"/>
    <w:rsid w:val="007F3D2B"/>
    <w:rsid w:val="007F3FD5"/>
    <w:rsid w:val="008020B2"/>
    <w:rsid w:val="008804A4"/>
    <w:rsid w:val="008A37A9"/>
    <w:rsid w:val="008A7FCC"/>
    <w:rsid w:val="009A1B4F"/>
    <w:rsid w:val="009C003A"/>
    <w:rsid w:val="009C0332"/>
    <w:rsid w:val="009D247F"/>
    <w:rsid w:val="00A27BD1"/>
    <w:rsid w:val="00A33F43"/>
    <w:rsid w:val="00A42C1B"/>
    <w:rsid w:val="00A533A0"/>
    <w:rsid w:val="00A54F1A"/>
    <w:rsid w:val="00A9247A"/>
    <w:rsid w:val="00AE4FE5"/>
    <w:rsid w:val="00AF4EAA"/>
    <w:rsid w:val="00B6512B"/>
    <w:rsid w:val="00B65F3E"/>
    <w:rsid w:val="00C06D32"/>
    <w:rsid w:val="00C201DE"/>
    <w:rsid w:val="00C3404F"/>
    <w:rsid w:val="00C41B65"/>
    <w:rsid w:val="00C63E07"/>
    <w:rsid w:val="00CC2FDE"/>
    <w:rsid w:val="00CD3793"/>
    <w:rsid w:val="00CF2894"/>
    <w:rsid w:val="00D073AD"/>
    <w:rsid w:val="00D111B2"/>
    <w:rsid w:val="00D13BEB"/>
    <w:rsid w:val="00D2596A"/>
    <w:rsid w:val="00D46A93"/>
    <w:rsid w:val="00DD5FD1"/>
    <w:rsid w:val="00E11CCB"/>
    <w:rsid w:val="00E17879"/>
    <w:rsid w:val="00E23CDC"/>
    <w:rsid w:val="00E41563"/>
    <w:rsid w:val="00E849B4"/>
    <w:rsid w:val="00EA0ACD"/>
    <w:rsid w:val="00EA15B0"/>
    <w:rsid w:val="00EF19FA"/>
    <w:rsid w:val="00F066FB"/>
    <w:rsid w:val="00F23470"/>
    <w:rsid w:val="00F52498"/>
    <w:rsid w:val="00F544BA"/>
    <w:rsid w:val="00F67590"/>
    <w:rsid w:val="00F74AC1"/>
    <w:rsid w:val="00FC2F44"/>
    <w:rsid w:val="00FF1209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FFE97F"/>
  <w15:chartTrackingRefBased/>
  <w15:docId w15:val="{5F0348C6-92A5-FC4C-8D68-1D7C36B4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3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3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3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3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3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3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3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3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3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3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3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3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3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3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3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3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3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3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3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3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3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3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3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3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3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3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3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922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Jiwei Zhou</dc:creator>
  <cp:keywords/>
  <dc:description/>
  <cp:lastModifiedBy>Jiwei Zhou</cp:lastModifiedBy>
  <cp:revision>3</cp:revision>
  <dcterms:created xsi:type="dcterms:W3CDTF">2024-09-20T09:08:00Z</dcterms:created>
  <dcterms:modified xsi:type="dcterms:W3CDTF">2024-09-20T09:10:00Z</dcterms:modified>
</cp:coreProperties>
</file>