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D31D3" w14:textId="1EF27E46" w:rsidR="00F35D5A" w:rsidRPr="00CC4AE3" w:rsidRDefault="007D6C5A">
      <w:pPr>
        <w:pStyle w:val="Heading2"/>
      </w:pPr>
      <w:r>
        <w:t xml:space="preserve">Supplementary Table </w:t>
      </w:r>
      <w:r w:rsidR="000D1C72" w:rsidRPr="00CC4AE3">
        <w:t>5</w:t>
      </w:r>
      <w:r w:rsidR="00321DB3" w:rsidRPr="00CC4AE3">
        <w:t xml:space="preserve"> </w:t>
      </w:r>
      <w:r w:rsidR="00DE7C8C">
        <w:t xml:space="preserve">- </w:t>
      </w:r>
      <w:r w:rsidR="00321DB3" w:rsidRPr="00CC4AE3">
        <w:t>Physiological characterization of anthocyanin-producing strains grown in bioreactors</w:t>
      </w:r>
    </w:p>
    <w:p w14:paraId="164B75BE" w14:textId="0F2B3D94" w:rsidR="00E8729A" w:rsidRDefault="002A1A1F" w:rsidP="00321DB3">
      <w:pPr>
        <w:spacing w:line="360" w:lineRule="auto"/>
        <w:jc w:val="both"/>
      </w:pPr>
      <w:r w:rsidRPr="00CC4AE3">
        <w:t xml:space="preserve">A) </w:t>
      </w:r>
      <w:r w:rsidR="00321DB3" w:rsidRPr="00CC4AE3">
        <w:t>The specific growth</w:t>
      </w:r>
      <w:r w:rsidR="00321DB3">
        <w:t xml:space="preserve"> rate (</w:t>
      </w:r>
      <w:r w:rsidR="00321DB3">
        <w:rPr>
          <w:rFonts w:cstheme="minorHAnsi"/>
        </w:rPr>
        <w:t>µ</w:t>
      </w:r>
      <w:r w:rsidR="00321DB3">
        <w:t>) a</w:t>
      </w:r>
      <w:r>
        <w:t>nd the yield (Y) of biomass (X) and</w:t>
      </w:r>
      <w:r w:rsidR="00321DB3">
        <w:t xml:space="preserve"> ethanol (E</w:t>
      </w:r>
      <w:r w:rsidR="00E8729A">
        <w:t>T</w:t>
      </w:r>
      <w:r w:rsidR="00321DB3">
        <w:t>OH)</w:t>
      </w:r>
      <w:r>
        <w:t xml:space="preserve"> on glucose (S)</w:t>
      </w:r>
      <w:r w:rsidR="00C34890">
        <w:t xml:space="preserve"> </w:t>
      </w:r>
    </w:p>
    <w:p w14:paraId="19DBD9D4" w14:textId="4D598A68" w:rsidR="002A1A1F" w:rsidRPr="00A84D62" w:rsidRDefault="00C34890" w:rsidP="00321DB3">
      <w:pPr>
        <w:spacing w:line="360" w:lineRule="auto"/>
        <w:jc w:val="both"/>
      </w:pPr>
      <w:r>
        <w:t>B) The overall yield (Y) of g</w:t>
      </w:r>
      <w:r w:rsidR="00E8729A">
        <w:t>lycerol (GLYC), pyruvate (PYR</w:t>
      </w:r>
      <w:r w:rsidR="00321DB3">
        <w:t>), coumaric</w:t>
      </w:r>
      <w:r>
        <w:t xml:space="preserve"> acid (COUM), phloretic acid (PHLOR</w:t>
      </w:r>
      <w:r w:rsidR="00321DB3">
        <w:t>) and dihydrokaempferol (DHK) on glucose</w:t>
      </w:r>
      <w:r>
        <w:t xml:space="preserve"> and ethanol</w:t>
      </w:r>
      <w:r w:rsidR="00321DB3">
        <w:t xml:space="preserve"> (S) during aerobic bioreactor batch cultivation of IMF41 (Cir</w:t>
      </w:r>
      <w:r>
        <w:t xml:space="preserve"> NeoChr</w:t>
      </w:r>
      <w:r w:rsidR="00321DB3">
        <w:t xml:space="preserve">, 1x </w:t>
      </w:r>
      <w:r>
        <w:rPr>
          <w:i/>
        </w:rPr>
        <w:t>co</w:t>
      </w:r>
      <w:r w:rsidR="00321DB3">
        <w:rPr>
          <w:i/>
        </w:rPr>
        <w:t>A</w:t>
      </w:r>
      <w:r w:rsidR="000A7A6D">
        <w:rPr>
          <w:i/>
        </w:rPr>
        <w:t>t</w:t>
      </w:r>
      <w:r w:rsidR="00321DB3">
        <w:rPr>
          <w:i/>
        </w:rPr>
        <w:t>CHS</w:t>
      </w:r>
      <w:r>
        <w:rPr>
          <w:i/>
        </w:rPr>
        <w:t>3</w:t>
      </w:r>
      <w:r w:rsidR="00321DB3">
        <w:t>), IMF42 (Lin</w:t>
      </w:r>
      <w:r>
        <w:t xml:space="preserve"> NeoChr</w:t>
      </w:r>
      <w:r w:rsidR="00321DB3">
        <w:t xml:space="preserve">, 1x </w:t>
      </w:r>
      <w:r>
        <w:rPr>
          <w:i/>
        </w:rPr>
        <w:t>coAtCHS3</w:t>
      </w:r>
      <w:r>
        <w:t>),</w:t>
      </w:r>
      <w:r w:rsidR="00321DB3">
        <w:t>) and IMF48 (Lin</w:t>
      </w:r>
      <w:r>
        <w:t xml:space="preserve"> NeoChr</w:t>
      </w:r>
      <w:r w:rsidR="00321DB3">
        <w:t xml:space="preserve">, 9x </w:t>
      </w:r>
      <w:r>
        <w:rPr>
          <w:i/>
        </w:rPr>
        <w:t>coAtCHS3</w:t>
      </w:r>
      <w:r>
        <w:t xml:space="preserve">, </w:t>
      </w:r>
      <w:r w:rsidR="00A15DFE">
        <w:t>repaired</w:t>
      </w:r>
      <w:r w:rsidR="00321DB3">
        <w:rPr>
          <w:i/>
        </w:rPr>
        <w:t xml:space="preserve"> </w:t>
      </w:r>
      <w:r w:rsidR="00555C63" w:rsidRPr="00555C63">
        <w:rPr>
          <w:i/>
        </w:rPr>
        <w:t>coAtANS</w:t>
      </w:r>
      <w:r w:rsidR="00A15DFE">
        <w:t>)</w:t>
      </w:r>
      <w:r w:rsidR="00321DB3">
        <w:t xml:space="preserve">. </w:t>
      </w:r>
    </w:p>
    <w:tbl>
      <w:tblPr>
        <w:tblStyle w:val="TableGrid"/>
        <w:tblW w:w="1016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1080"/>
        <w:gridCol w:w="218"/>
        <w:gridCol w:w="862"/>
        <w:gridCol w:w="436"/>
        <w:gridCol w:w="644"/>
        <w:gridCol w:w="471"/>
        <w:gridCol w:w="1156"/>
        <w:gridCol w:w="1213"/>
        <w:gridCol w:w="1213"/>
      </w:tblGrid>
      <w:tr w:rsidR="00C34890" w14:paraId="6EB94B7E" w14:textId="77777777" w:rsidTr="007F4DA3">
        <w:trPr>
          <w:gridAfter w:val="4"/>
          <w:wAfter w:w="4053" w:type="dxa"/>
        </w:trPr>
        <w:tc>
          <w:tcPr>
            <w:tcW w:w="2875" w:type="dxa"/>
            <w:vMerge w:val="restart"/>
            <w:vAlign w:val="center"/>
          </w:tcPr>
          <w:p w14:paraId="1CD53B93" w14:textId="53F04241" w:rsidR="00C34890" w:rsidRPr="00E40D0F" w:rsidRDefault="00C34890" w:rsidP="002A1A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A)</w:t>
            </w:r>
          </w:p>
        </w:tc>
        <w:tc>
          <w:tcPr>
            <w:tcW w:w="1080" w:type="dxa"/>
          </w:tcPr>
          <w:p w14:paraId="3B5B4574" w14:textId="77777777" w:rsidR="00C34890" w:rsidRDefault="00C34890" w:rsidP="00BB3D78">
            <w:r w:rsidRPr="00FF4041">
              <w:rPr>
                <w:b/>
                <w:bCs/>
                <w:vertAlign w:val="superscript"/>
              </w:rPr>
              <w:t>a</w:t>
            </w:r>
            <w:r w:rsidRPr="00FF4041">
              <w:t>µ</w:t>
            </w:r>
            <w:r w:rsidRPr="00FF4041">
              <w:rPr>
                <w:vertAlign w:val="subscript"/>
              </w:rPr>
              <w:t>MAX</w:t>
            </w:r>
          </w:p>
        </w:tc>
        <w:tc>
          <w:tcPr>
            <w:tcW w:w="1080" w:type="dxa"/>
            <w:gridSpan w:val="2"/>
          </w:tcPr>
          <w:p w14:paraId="37843ED2" w14:textId="77777777" w:rsidR="00C34890" w:rsidRDefault="00C34890" w:rsidP="00BB3D78">
            <w:r w:rsidRPr="00FF4041">
              <w:rPr>
                <w:b/>
                <w:bCs/>
                <w:vertAlign w:val="superscript"/>
              </w:rPr>
              <w:t>a</w:t>
            </w:r>
            <w:r w:rsidRPr="00FF4041">
              <w:t>Y</w:t>
            </w:r>
            <w:r w:rsidRPr="00FF4041">
              <w:rPr>
                <w:vertAlign w:val="subscript"/>
              </w:rPr>
              <w:t>X/S</w:t>
            </w:r>
          </w:p>
        </w:tc>
        <w:tc>
          <w:tcPr>
            <w:tcW w:w="1080" w:type="dxa"/>
            <w:gridSpan w:val="2"/>
          </w:tcPr>
          <w:p w14:paraId="676AC34C" w14:textId="6FB2C281" w:rsidR="00C34890" w:rsidRDefault="00C34890" w:rsidP="00904122">
            <w:r w:rsidRPr="00FF4041">
              <w:rPr>
                <w:b/>
                <w:bCs/>
                <w:vertAlign w:val="superscript"/>
              </w:rPr>
              <w:t>a</w:t>
            </w:r>
            <w:r w:rsidRPr="00FF4041">
              <w:t>Y</w:t>
            </w:r>
            <w:r w:rsidRPr="00FF4041">
              <w:rPr>
                <w:vertAlign w:val="subscript"/>
              </w:rPr>
              <w:t>E</w:t>
            </w:r>
            <w:r w:rsidR="00904122">
              <w:rPr>
                <w:vertAlign w:val="subscript"/>
              </w:rPr>
              <w:t>T</w:t>
            </w:r>
            <w:r w:rsidRPr="00FF4041">
              <w:rPr>
                <w:vertAlign w:val="subscript"/>
              </w:rPr>
              <w:t>OH/S</w:t>
            </w:r>
          </w:p>
        </w:tc>
      </w:tr>
      <w:tr w:rsidR="00C34890" w14:paraId="044725B8" w14:textId="77777777" w:rsidTr="007F4DA3">
        <w:trPr>
          <w:gridAfter w:val="4"/>
          <w:wAfter w:w="4053" w:type="dxa"/>
        </w:trPr>
        <w:tc>
          <w:tcPr>
            <w:tcW w:w="2875" w:type="dxa"/>
            <w:vMerge/>
            <w:tcBorders>
              <w:bottom w:val="single" w:sz="4" w:space="0" w:color="auto"/>
            </w:tcBorders>
          </w:tcPr>
          <w:p w14:paraId="55921AC1" w14:textId="77777777" w:rsidR="00C34890" w:rsidRDefault="00C34890" w:rsidP="00BB3D78"/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1195339" w14:textId="77777777" w:rsidR="00C34890" w:rsidRPr="003378F4" w:rsidRDefault="00C34890" w:rsidP="00BB3D78">
            <w:pPr>
              <w:rPr>
                <w:sz w:val="18"/>
              </w:rPr>
            </w:pPr>
            <w:r w:rsidRPr="003378F4">
              <w:rPr>
                <w:bCs/>
                <w:sz w:val="18"/>
              </w:rPr>
              <w:t>h</w:t>
            </w:r>
            <w:r w:rsidRPr="003378F4">
              <w:rPr>
                <w:bCs/>
                <w:sz w:val="18"/>
                <w:vertAlign w:val="superscript"/>
              </w:rPr>
              <w:t>-1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14:paraId="239AAE3D" w14:textId="77777777" w:rsidR="00C34890" w:rsidRPr="003378F4" w:rsidRDefault="00C34890" w:rsidP="00BB3D78">
            <w:pPr>
              <w:rPr>
                <w:sz w:val="18"/>
              </w:rPr>
            </w:pPr>
            <w:r w:rsidRPr="003378F4">
              <w:rPr>
                <w:sz w:val="18"/>
              </w:rPr>
              <w:t>(g g</w:t>
            </w:r>
            <w:r w:rsidRPr="003378F4">
              <w:rPr>
                <w:sz w:val="18"/>
                <w:vertAlign w:val="superscript"/>
              </w:rPr>
              <w:t>-1</w:t>
            </w:r>
            <w:r w:rsidRPr="003378F4">
              <w:rPr>
                <w:sz w:val="18"/>
              </w:rPr>
              <w:t>)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14:paraId="001B2FA8" w14:textId="77777777" w:rsidR="00C34890" w:rsidRPr="003378F4" w:rsidRDefault="00C34890" w:rsidP="00BB3D78">
            <w:pPr>
              <w:rPr>
                <w:sz w:val="18"/>
              </w:rPr>
            </w:pPr>
            <w:r w:rsidRPr="003378F4">
              <w:rPr>
                <w:sz w:val="18"/>
              </w:rPr>
              <w:t>(mol mol</w:t>
            </w:r>
            <w:r w:rsidRPr="003378F4">
              <w:rPr>
                <w:sz w:val="18"/>
                <w:vertAlign w:val="superscript"/>
              </w:rPr>
              <w:t>-1</w:t>
            </w:r>
            <w:r w:rsidRPr="003378F4">
              <w:rPr>
                <w:sz w:val="18"/>
              </w:rPr>
              <w:t>)</w:t>
            </w:r>
          </w:p>
        </w:tc>
      </w:tr>
      <w:tr w:rsidR="00C34890" w14:paraId="560056DC" w14:textId="77777777" w:rsidTr="007F4DA3">
        <w:trPr>
          <w:gridAfter w:val="4"/>
          <w:wAfter w:w="4053" w:type="dxa"/>
        </w:trPr>
        <w:tc>
          <w:tcPr>
            <w:tcW w:w="2875" w:type="dxa"/>
            <w:tcBorders>
              <w:top w:val="single" w:sz="4" w:space="0" w:color="auto"/>
              <w:bottom w:val="nil"/>
            </w:tcBorders>
          </w:tcPr>
          <w:p w14:paraId="387EC422" w14:textId="705ED29B" w:rsidR="00C34890" w:rsidRPr="00E40D0F" w:rsidRDefault="00C34890" w:rsidP="00C3489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IMF41 </w:t>
            </w:r>
            <w:r w:rsidRPr="00E40D0F">
              <w:rPr>
                <w:sz w:val="18"/>
              </w:rPr>
              <w:t>(Cir)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14:paraId="47E0C18F" w14:textId="13F8E691" w:rsidR="00C34890" w:rsidRPr="003378F4" w:rsidRDefault="00C34890" w:rsidP="002A1A1F">
            <w:pPr>
              <w:rPr>
                <w:sz w:val="18"/>
              </w:rPr>
            </w:pPr>
            <w:r>
              <w:rPr>
                <w:sz w:val="18"/>
              </w:rPr>
              <w:t xml:space="preserve">0.23 </w:t>
            </w:r>
            <w:r w:rsidRPr="003378F4">
              <w:rPr>
                <w:sz w:val="18"/>
              </w:rPr>
              <w:t>± 0.00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nil"/>
            </w:tcBorders>
          </w:tcPr>
          <w:p w14:paraId="6C39D2BD" w14:textId="78134A4D" w:rsidR="00C34890" w:rsidRPr="003378F4" w:rsidRDefault="00C34890" w:rsidP="002A1A1F">
            <w:pPr>
              <w:rPr>
                <w:sz w:val="18"/>
              </w:rPr>
            </w:pPr>
            <w:r w:rsidRPr="003378F4">
              <w:rPr>
                <w:sz w:val="18"/>
              </w:rPr>
              <w:t>0.12 ± 0.00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nil"/>
            </w:tcBorders>
          </w:tcPr>
          <w:p w14:paraId="719BE9BD" w14:textId="5F782BD3" w:rsidR="00C34890" w:rsidRPr="003378F4" w:rsidRDefault="00C34890" w:rsidP="002A1A1F">
            <w:pPr>
              <w:rPr>
                <w:sz w:val="18"/>
              </w:rPr>
            </w:pPr>
            <w:r w:rsidRPr="003378F4">
              <w:rPr>
                <w:sz w:val="18"/>
              </w:rPr>
              <w:t>1.44 ± 0.05</w:t>
            </w:r>
          </w:p>
        </w:tc>
      </w:tr>
      <w:tr w:rsidR="00C34890" w14:paraId="79B56026" w14:textId="77777777" w:rsidTr="007F4DA3">
        <w:trPr>
          <w:gridAfter w:val="4"/>
          <w:wAfter w:w="4053" w:type="dxa"/>
        </w:trPr>
        <w:tc>
          <w:tcPr>
            <w:tcW w:w="2875" w:type="dxa"/>
            <w:tcBorders>
              <w:top w:val="nil"/>
              <w:bottom w:val="nil"/>
            </w:tcBorders>
          </w:tcPr>
          <w:p w14:paraId="6611130E" w14:textId="1326DD78" w:rsidR="00C34890" w:rsidRPr="00E40D0F" w:rsidRDefault="00C34890" w:rsidP="00C34890">
            <w:pPr>
              <w:rPr>
                <w:b/>
                <w:sz w:val="18"/>
              </w:rPr>
            </w:pPr>
            <w:r w:rsidRPr="00E40D0F">
              <w:rPr>
                <w:b/>
                <w:sz w:val="18"/>
              </w:rPr>
              <w:t xml:space="preserve">IMF42 </w:t>
            </w:r>
            <w:r w:rsidRPr="00E40D0F">
              <w:rPr>
                <w:sz w:val="18"/>
              </w:rPr>
              <w:t>(Lin)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774172C" w14:textId="4C0EF009" w:rsidR="00C34890" w:rsidRPr="003378F4" w:rsidRDefault="00C34890" w:rsidP="002A1A1F">
            <w:pPr>
              <w:rPr>
                <w:sz w:val="18"/>
              </w:rPr>
            </w:pPr>
            <w:r>
              <w:rPr>
                <w:sz w:val="18"/>
              </w:rPr>
              <w:t xml:space="preserve">0.22 </w:t>
            </w:r>
            <w:r w:rsidRPr="003378F4">
              <w:rPr>
                <w:sz w:val="18"/>
              </w:rPr>
              <w:t>± 0.01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 w14:paraId="171EA623" w14:textId="7D657472" w:rsidR="00C34890" w:rsidRPr="003378F4" w:rsidRDefault="00C34890" w:rsidP="002A1A1F">
            <w:pPr>
              <w:rPr>
                <w:sz w:val="18"/>
              </w:rPr>
            </w:pPr>
            <w:r w:rsidRPr="003378F4">
              <w:rPr>
                <w:sz w:val="18"/>
              </w:rPr>
              <w:t>0.12</w:t>
            </w:r>
            <w:r>
              <w:rPr>
                <w:sz w:val="18"/>
              </w:rPr>
              <w:t xml:space="preserve"> </w:t>
            </w:r>
            <w:r w:rsidRPr="003378F4">
              <w:rPr>
                <w:sz w:val="18"/>
              </w:rPr>
              <w:t>± 0.00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 w14:paraId="3C2C0916" w14:textId="1DD67B31" w:rsidR="00C34890" w:rsidRPr="003378F4" w:rsidRDefault="00C34890" w:rsidP="002A1A1F">
            <w:pPr>
              <w:rPr>
                <w:sz w:val="18"/>
              </w:rPr>
            </w:pPr>
            <w:r w:rsidRPr="003378F4">
              <w:rPr>
                <w:sz w:val="18"/>
              </w:rPr>
              <w:t>1.41 ± 0.02</w:t>
            </w:r>
          </w:p>
        </w:tc>
      </w:tr>
      <w:tr w:rsidR="00C34890" w14:paraId="660570FA" w14:textId="77777777" w:rsidTr="007F4DA3">
        <w:trPr>
          <w:gridAfter w:val="4"/>
          <w:wAfter w:w="4053" w:type="dxa"/>
        </w:trPr>
        <w:tc>
          <w:tcPr>
            <w:tcW w:w="2875" w:type="dxa"/>
            <w:tcBorders>
              <w:top w:val="nil"/>
              <w:bottom w:val="single" w:sz="4" w:space="0" w:color="auto"/>
            </w:tcBorders>
          </w:tcPr>
          <w:p w14:paraId="4FEAD8B2" w14:textId="7A4FDCD0" w:rsidR="00C34890" w:rsidRPr="00CE59FA" w:rsidRDefault="00C34890" w:rsidP="00C34890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IMF48 </w:t>
            </w:r>
            <w:r w:rsidRPr="00CE59FA">
              <w:rPr>
                <w:sz w:val="18"/>
              </w:rPr>
              <w:t>(Lin, 9x</w:t>
            </w:r>
            <w:r w:rsidR="007F4DA3">
              <w:rPr>
                <w:sz w:val="18"/>
              </w:rPr>
              <w:t xml:space="preserve"> </w:t>
            </w:r>
            <w:r w:rsidR="007F4DA3" w:rsidRPr="007F4DA3">
              <w:rPr>
                <w:i/>
                <w:sz w:val="18"/>
              </w:rPr>
              <w:t>coAtCHS3, coAtANS</w:t>
            </w:r>
            <w:r w:rsidRPr="00CE59FA">
              <w:rPr>
                <w:sz w:val="18"/>
              </w:rPr>
              <w:t>)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14:paraId="1F9A4845" w14:textId="6B9996FB" w:rsidR="00C34890" w:rsidRPr="003378F4" w:rsidRDefault="00C34890" w:rsidP="002A1A1F">
            <w:pPr>
              <w:rPr>
                <w:sz w:val="18"/>
              </w:rPr>
            </w:pPr>
            <w:r>
              <w:rPr>
                <w:sz w:val="18"/>
              </w:rPr>
              <w:t xml:space="preserve">0.20 </w:t>
            </w:r>
            <w:r w:rsidRPr="003378F4">
              <w:rPr>
                <w:sz w:val="18"/>
              </w:rPr>
              <w:t>±</w:t>
            </w:r>
            <w:r>
              <w:rPr>
                <w:sz w:val="18"/>
              </w:rPr>
              <w:t xml:space="preserve"> 0.01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</w:tcPr>
          <w:p w14:paraId="4FD632AE" w14:textId="0E79EDAD" w:rsidR="00C34890" w:rsidRPr="003378F4" w:rsidRDefault="00C34890" w:rsidP="002A1A1F">
            <w:pPr>
              <w:rPr>
                <w:sz w:val="18"/>
              </w:rPr>
            </w:pPr>
            <w:r>
              <w:rPr>
                <w:sz w:val="18"/>
              </w:rPr>
              <w:t xml:space="preserve">0.13 </w:t>
            </w:r>
            <w:r w:rsidRPr="003378F4">
              <w:rPr>
                <w:sz w:val="18"/>
              </w:rPr>
              <w:t>±</w:t>
            </w:r>
            <w:r>
              <w:rPr>
                <w:sz w:val="18"/>
              </w:rPr>
              <w:t xml:space="preserve"> 0.00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</w:tcPr>
          <w:p w14:paraId="6257FE49" w14:textId="16D1B66E" w:rsidR="00C34890" w:rsidRPr="003378F4" w:rsidRDefault="00C34890" w:rsidP="002A1A1F">
            <w:pPr>
              <w:rPr>
                <w:sz w:val="18"/>
              </w:rPr>
            </w:pPr>
            <w:r>
              <w:rPr>
                <w:sz w:val="18"/>
              </w:rPr>
              <w:t xml:space="preserve">1.29 </w:t>
            </w:r>
            <w:r w:rsidRPr="003378F4">
              <w:rPr>
                <w:sz w:val="18"/>
              </w:rPr>
              <w:t>±</w:t>
            </w:r>
            <w:r>
              <w:rPr>
                <w:sz w:val="18"/>
              </w:rPr>
              <w:t xml:space="preserve"> 0.05</w:t>
            </w:r>
          </w:p>
        </w:tc>
      </w:tr>
      <w:tr w:rsidR="00C34890" w14:paraId="2C09870E" w14:textId="77777777" w:rsidTr="007F4DA3">
        <w:trPr>
          <w:gridAfter w:val="4"/>
          <w:wAfter w:w="4053" w:type="dxa"/>
        </w:trPr>
        <w:tc>
          <w:tcPr>
            <w:tcW w:w="2875" w:type="dxa"/>
            <w:tcBorders>
              <w:top w:val="nil"/>
              <w:bottom w:val="single" w:sz="4" w:space="0" w:color="auto"/>
            </w:tcBorders>
          </w:tcPr>
          <w:p w14:paraId="590316D5" w14:textId="77777777" w:rsidR="00C34890" w:rsidRDefault="00C34890" w:rsidP="00C34890">
            <w:pPr>
              <w:rPr>
                <w:b/>
                <w:sz w:val="18"/>
              </w:rPr>
            </w:pPr>
          </w:p>
          <w:p w14:paraId="5BB99FD5" w14:textId="55A2938B" w:rsidR="00C34890" w:rsidRDefault="00C34890" w:rsidP="00C34890">
            <w:pPr>
              <w:rPr>
                <w:b/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14:paraId="7B359ADF" w14:textId="77777777" w:rsidR="00C34890" w:rsidRDefault="00C34890" w:rsidP="002A1A1F">
            <w:pPr>
              <w:rPr>
                <w:sz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</w:tcPr>
          <w:p w14:paraId="52835DD0" w14:textId="77777777" w:rsidR="00C34890" w:rsidRDefault="00C34890" w:rsidP="002A1A1F">
            <w:pPr>
              <w:rPr>
                <w:sz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</w:tcPr>
          <w:p w14:paraId="14B2D7B2" w14:textId="77777777" w:rsidR="00C34890" w:rsidRDefault="00C34890" w:rsidP="002A1A1F">
            <w:pPr>
              <w:rPr>
                <w:sz w:val="18"/>
              </w:rPr>
            </w:pPr>
          </w:p>
        </w:tc>
      </w:tr>
      <w:tr w:rsidR="002A1A1F" w14:paraId="225F7F5E" w14:textId="77777777" w:rsidTr="007F4DA3">
        <w:tc>
          <w:tcPr>
            <w:tcW w:w="287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338E7709" w14:textId="2B7F6804" w:rsidR="002A1A1F" w:rsidRPr="00E40D0F" w:rsidRDefault="00C34890" w:rsidP="00C348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B)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nil"/>
            </w:tcBorders>
          </w:tcPr>
          <w:p w14:paraId="2BFA29EE" w14:textId="66317193" w:rsidR="002A1A1F" w:rsidRDefault="002A1A1F" w:rsidP="00E8729A">
            <w:r w:rsidRPr="00FF4041">
              <w:t>Y</w:t>
            </w:r>
            <w:r w:rsidR="00E8729A">
              <w:rPr>
                <w:vertAlign w:val="subscript"/>
              </w:rPr>
              <w:t>GLYC</w:t>
            </w:r>
            <w:r w:rsidRPr="00FF4041">
              <w:rPr>
                <w:vertAlign w:val="subscript"/>
              </w:rPr>
              <w:t>/S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nil"/>
            </w:tcBorders>
          </w:tcPr>
          <w:p w14:paraId="37274F87" w14:textId="26776773" w:rsidR="002A1A1F" w:rsidRDefault="002A1A1F" w:rsidP="00E8729A">
            <w:r w:rsidRPr="00FF4041">
              <w:t>Y</w:t>
            </w:r>
            <w:r w:rsidR="00E8729A">
              <w:rPr>
                <w:vertAlign w:val="subscript"/>
              </w:rPr>
              <w:t>PYR</w:t>
            </w:r>
            <w:r w:rsidRPr="00FF4041">
              <w:rPr>
                <w:vertAlign w:val="subscript"/>
              </w:rPr>
              <w:t>/S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bottom w:val="nil"/>
            </w:tcBorders>
          </w:tcPr>
          <w:p w14:paraId="7A22AD21" w14:textId="77777777" w:rsidR="002A1A1F" w:rsidRDefault="002A1A1F" w:rsidP="009741EF">
            <w:r w:rsidRPr="00FF4041">
              <w:t>Y</w:t>
            </w:r>
            <w:r w:rsidRPr="00FF4041">
              <w:rPr>
                <w:vertAlign w:val="subscript"/>
              </w:rPr>
              <w:t>X/S</w:t>
            </w:r>
          </w:p>
        </w:tc>
        <w:tc>
          <w:tcPr>
            <w:tcW w:w="1156" w:type="dxa"/>
            <w:tcBorders>
              <w:top w:val="single" w:sz="4" w:space="0" w:color="auto"/>
              <w:bottom w:val="nil"/>
            </w:tcBorders>
          </w:tcPr>
          <w:p w14:paraId="1F58C8F2" w14:textId="77777777" w:rsidR="002A1A1F" w:rsidRDefault="002A1A1F" w:rsidP="009741EF">
            <w:r w:rsidRPr="00FF4041">
              <w:t>Y</w:t>
            </w:r>
            <w:r w:rsidRPr="00FF4041">
              <w:rPr>
                <w:vertAlign w:val="subscript"/>
              </w:rPr>
              <w:t>coum/S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</w:tcPr>
          <w:p w14:paraId="2C21AC6E" w14:textId="4F47FA75" w:rsidR="002A1A1F" w:rsidRPr="00E8729A" w:rsidRDefault="002A1A1F" w:rsidP="00E8729A">
            <w:pPr>
              <w:rPr>
                <w:vertAlign w:val="subscript"/>
              </w:rPr>
            </w:pPr>
            <w:r w:rsidRPr="00FF4041">
              <w:t>Y</w:t>
            </w:r>
            <w:r>
              <w:rPr>
                <w:vertAlign w:val="subscript"/>
              </w:rPr>
              <w:t>P</w:t>
            </w:r>
            <w:r w:rsidR="00E8729A">
              <w:rPr>
                <w:vertAlign w:val="subscript"/>
              </w:rPr>
              <w:t>HLOR</w:t>
            </w:r>
            <w:r w:rsidRPr="00FF4041">
              <w:rPr>
                <w:vertAlign w:val="subscript"/>
              </w:rPr>
              <w:t>/S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</w:tcPr>
          <w:p w14:paraId="22E0BA80" w14:textId="77777777" w:rsidR="002A1A1F" w:rsidRDefault="002A1A1F" w:rsidP="009741EF">
            <w:r w:rsidRPr="00FF4041">
              <w:t>Y</w:t>
            </w:r>
            <w:r w:rsidRPr="00FF4041">
              <w:rPr>
                <w:vertAlign w:val="subscript"/>
              </w:rPr>
              <w:t>DHK/S</w:t>
            </w:r>
          </w:p>
        </w:tc>
      </w:tr>
      <w:tr w:rsidR="002A1A1F" w14:paraId="4010DE60" w14:textId="77777777" w:rsidTr="007F4DA3">
        <w:tc>
          <w:tcPr>
            <w:tcW w:w="2875" w:type="dxa"/>
            <w:vMerge/>
            <w:tcBorders>
              <w:top w:val="nil"/>
              <w:bottom w:val="single" w:sz="4" w:space="0" w:color="auto"/>
            </w:tcBorders>
          </w:tcPr>
          <w:p w14:paraId="44A5FBD6" w14:textId="77777777" w:rsidR="002A1A1F" w:rsidRDefault="002A1A1F" w:rsidP="009741EF"/>
        </w:tc>
        <w:tc>
          <w:tcPr>
            <w:tcW w:w="129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389A53B" w14:textId="77777777" w:rsidR="002A1A1F" w:rsidRPr="003378F4" w:rsidRDefault="002A1A1F" w:rsidP="009741EF">
            <w:pPr>
              <w:rPr>
                <w:sz w:val="18"/>
              </w:rPr>
            </w:pPr>
            <w:r w:rsidRPr="003378F4">
              <w:rPr>
                <w:sz w:val="18"/>
              </w:rPr>
              <w:t>(mol mol</w:t>
            </w:r>
            <w:r w:rsidRPr="003378F4">
              <w:rPr>
                <w:sz w:val="18"/>
                <w:vertAlign w:val="superscript"/>
              </w:rPr>
              <w:t>-1</w:t>
            </w:r>
            <w:r w:rsidRPr="003378F4">
              <w:rPr>
                <w:sz w:val="18"/>
              </w:rPr>
              <w:t>)</w:t>
            </w:r>
          </w:p>
        </w:tc>
        <w:tc>
          <w:tcPr>
            <w:tcW w:w="129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2294934A" w14:textId="77777777" w:rsidR="002A1A1F" w:rsidRPr="003378F4" w:rsidRDefault="002A1A1F" w:rsidP="009741EF">
            <w:pPr>
              <w:rPr>
                <w:sz w:val="18"/>
              </w:rPr>
            </w:pPr>
            <w:r w:rsidRPr="003378F4">
              <w:rPr>
                <w:sz w:val="18"/>
              </w:rPr>
              <w:t>(mol mol</w:t>
            </w:r>
            <w:r w:rsidRPr="003378F4">
              <w:rPr>
                <w:sz w:val="18"/>
                <w:vertAlign w:val="superscript"/>
              </w:rPr>
              <w:t>-1</w:t>
            </w:r>
            <w:r w:rsidRPr="003378F4">
              <w:rPr>
                <w:sz w:val="18"/>
              </w:rPr>
              <w:t>)</w:t>
            </w:r>
          </w:p>
        </w:tc>
        <w:tc>
          <w:tcPr>
            <w:tcW w:w="111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8E342F8" w14:textId="77777777" w:rsidR="002A1A1F" w:rsidRPr="003378F4" w:rsidRDefault="002A1A1F" w:rsidP="009741EF">
            <w:pPr>
              <w:rPr>
                <w:sz w:val="18"/>
              </w:rPr>
            </w:pPr>
            <w:r w:rsidRPr="003378F4">
              <w:rPr>
                <w:sz w:val="18"/>
              </w:rPr>
              <w:t>(mol mol</w:t>
            </w:r>
            <w:r w:rsidRPr="003378F4">
              <w:rPr>
                <w:sz w:val="18"/>
                <w:vertAlign w:val="superscript"/>
              </w:rPr>
              <w:t>-1</w:t>
            </w:r>
            <w:r w:rsidRPr="003378F4">
              <w:rPr>
                <w:sz w:val="18"/>
              </w:rPr>
              <w:t>)</w:t>
            </w:r>
          </w:p>
        </w:tc>
        <w:tc>
          <w:tcPr>
            <w:tcW w:w="1156" w:type="dxa"/>
            <w:tcBorders>
              <w:top w:val="nil"/>
              <w:bottom w:val="single" w:sz="4" w:space="0" w:color="auto"/>
            </w:tcBorders>
            <w:vAlign w:val="center"/>
          </w:tcPr>
          <w:p w14:paraId="15EE6E6B" w14:textId="2485B22D" w:rsidR="002A1A1F" w:rsidRPr="003378F4" w:rsidRDefault="002A1A1F" w:rsidP="002A1A1F">
            <w:pPr>
              <w:rPr>
                <w:sz w:val="18"/>
              </w:rPr>
            </w:pPr>
            <w:r w:rsidRPr="003378F4">
              <w:rPr>
                <w:sz w:val="18"/>
              </w:rPr>
              <w:t>(</w:t>
            </w:r>
            <w:r>
              <w:rPr>
                <w:rFonts w:cstheme="minorHAnsi"/>
                <w:sz w:val="18"/>
              </w:rPr>
              <w:t>µ</w:t>
            </w:r>
            <w:r>
              <w:rPr>
                <w:sz w:val="18"/>
              </w:rPr>
              <w:t>m</w:t>
            </w:r>
            <w:r w:rsidRPr="003378F4">
              <w:rPr>
                <w:sz w:val="18"/>
              </w:rPr>
              <w:t>ol mol</w:t>
            </w:r>
            <w:r w:rsidRPr="003378F4">
              <w:rPr>
                <w:sz w:val="18"/>
                <w:vertAlign w:val="superscript"/>
              </w:rPr>
              <w:t>-1</w:t>
            </w:r>
            <w:r w:rsidRPr="003378F4">
              <w:rPr>
                <w:sz w:val="18"/>
              </w:rPr>
              <w:t>)</w:t>
            </w:r>
          </w:p>
        </w:tc>
        <w:tc>
          <w:tcPr>
            <w:tcW w:w="1213" w:type="dxa"/>
            <w:tcBorders>
              <w:top w:val="nil"/>
              <w:bottom w:val="single" w:sz="4" w:space="0" w:color="auto"/>
            </w:tcBorders>
            <w:vAlign w:val="center"/>
          </w:tcPr>
          <w:p w14:paraId="770EB20C" w14:textId="77777777" w:rsidR="002A1A1F" w:rsidRPr="003378F4" w:rsidRDefault="002A1A1F" w:rsidP="009741EF">
            <w:pPr>
              <w:rPr>
                <w:sz w:val="18"/>
              </w:rPr>
            </w:pPr>
            <w:r w:rsidRPr="003378F4">
              <w:rPr>
                <w:sz w:val="18"/>
              </w:rPr>
              <w:t>(</w:t>
            </w:r>
            <w:r>
              <w:rPr>
                <w:rFonts w:cstheme="minorHAnsi"/>
                <w:sz w:val="18"/>
              </w:rPr>
              <w:t>µ</w:t>
            </w:r>
            <w:r w:rsidRPr="003378F4">
              <w:rPr>
                <w:sz w:val="18"/>
              </w:rPr>
              <w:t>mol mol</w:t>
            </w:r>
            <w:r w:rsidRPr="003378F4">
              <w:rPr>
                <w:sz w:val="18"/>
                <w:vertAlign w:val="superscript"/>
              </w:rPr>
              <w:t>-1</w:t>
            </w:r>
            <w:r w:rsidRPr="003378F4">
              <w:rPr>
                <w:sz w:val="18"/>
              </w:rPr>
              <w:t>)</w:t>
            </w:r>
          </w:p>
        </w:tc>
        <w:tc>
          <w:tcPr>
            <w:tcW w:w="1213" w:type="dxa"/>
            <w:tcBorders>
              <w:top w:val="nil"/>
              <w:bottom w:val="single" w:sz="4" w:space="0" w:color="auto"/>
            </w:tcBorders>
            <w:vAlign w:val="center"/>
          </w:tcPr>
          <w:p w14:paraId="09D15E07" w14:textId="77777777" w:rsidR="002A1A1F" w:rsidRPr="003378F4" w:rsidRDefault="002A1A1F" w:rsidP="009741EF">
            <w:pPr>
              <w:rPr>
                <w:sz w:val="18"/>
              </w:rPr>
            </w:pPr>
            <w:r w:rsidRPr="003378F4">
              <w:rPr>
                <w:sz w:val="18"/>
              </w:rPr>
              <w:t>(</w:t>
            </w:r>
            <w:r>
              <w:rPr>
                <w:rFonts w:cstheme="minorHAnsi"/>
                <w:sz w:val="18"/>
              </w:rPr>
              <w:t>µ</w:t>
            </w:r>
            <w:r w:rsidRPr="003378F4">
              <w:rPr>
                <w:sz w:val="18"/>
              </w:rPr>
              <w:t>mol mol</w:t>
            </w:r>
            <w:r w:rsidRPr="003378F4">
              <w:rPr>
                <w:sz w:val="18"/>
                <w:vertAlign w:val="superscript"/>
              </w:rPr>
              <w:t>-1</w:t>
            </w:r>
            <w:r w:rsidRPr="003378F4">
              <w:rPr>
                <w:sz w:val="18"/>
              </w:rPr>
              <w:t>)</w:t>
            </w:r>
          </w:p>
        </w:tc>
      </w:tr>
      <w:tr w:rsidR="002A1A1F" w14:paraId="56B06533" w14:textId="77777777" w:rsidTr="007F4DA3">
        <w:tc>
          <w:tcPr>
            <w:tcW w:w="2875" w:type="dxa"/>
            <w:tcBorders>
              <w:top w:val="single" w:sz="4" w:space="0" w:color="auto"/>
              <w:bottom w:val="nil"/>
            </w:tcBorders>
          </w:tcPr>
          <w:p w14:paraId="622FECAD" w14:textId="69CBE7AC" w:rsidR="002A1A1F" w:rsidRPr="00E40D0F" w:rsidRDefault="002A1A1F" w:rsidP="002A1A1F">
            <w:pPr>
              <w:rPr>
                <w:b/>
                <w:sz w:val="18"/>
              </w:rPr>
            </w:pPr>
            <w:r w:rsidRPr="00E40D0F">
              <w:rPr>
                <w:b/>
                <w:sz w:val="18"/>
              </w:rPr>
              <w:t>IMF41</w:t>
            </w:r>
            <w:r>
              <w:rPr>
                <w:b/>
                <w:sz w:val="18"/>
              </w:rPr>
              <w:t xml:space="preserve"> </w:t>
            </w:r>
            <w:r w:rsidRPr="00E40D0F">
              <w:rPr>
                <w:sz w:val="18"/>
              </w:rPr>
              <w:t>(Cir)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nil"/>
            </w:tcBorders>
          </w:tcPr>
          <w:p w14:paraId="58791630" w14:textId="0A0AF107" w:rsidR="002A1A1F" w:rsidRPr="003378F4" w:rsidRDefault="002A1A1F" w:rsidP="002A1A1F">
            <w:pPr>
              <w:rPr>
                <w:sz w:val="18"/>
              </w:rPr>
            </w:pPr>
            <w:r w:rsidRPr="003378F4">
              <w:rPr>
                <w:sz w:val="18"/>
              </w:rPr>
              <w:t>0.056</w:t>
            </w:r>
            <w:r>
              <w:rPr>
                <w:sz w:val="18"/>
              </w:rPr>
              <w:t xml:space="preserve"> </w:t>
            </w:r>
            <w:r w:rsidRPr="003378F4">
              <w:rPr>
                <w:sz w:val="18"/>
              </w:rPr>
              <w:t>± 0.005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nil"/>
            </w:tcBorders>
          </w:tcPr>
          <w:p w14:paraId="356AEB43" w14:textId="26D68B9A" w:rsidR="002A1A1F" w:rsidRPr="003378F4" w:rsidRDefault="002A1A1F" w:rsidP="002A1A1F">
            <w:pPr>
              <w:rPr>
                <w:sz w:val="18"/>
              </w:rPr>
            </w:pPr>
            <w:r w:rsidRPr="003378F4">
              <w:rPr>
                <w:sz w:val="18"/>
              </w:rPr>
              <w:t>0.029</w:t>
            </w:r>
            <w:r>
              <w:rPr>
                <w:sz w:val="18"/>
              </w:rPr>
              <w:t xml:space="preserve"> </w:t>
            </w:r>
            <w:r w:rsidRPr="003378F4">
              <w:rPr>
                <w:sz w:val="18"/>
              </w:rPr>
              <w:t>± 0.001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bottom w:val="nil"/>
            </w:tcBorders>
          </w:tcPr>
          <w:p w14:paraId="0C693C00" w14:textId="5A017419" w:rsidR="002A1A1F" w:rsidRPr="003378F4" w:rsidRDefault="002A1A1F" w:rsidP="002A1A1F">
            <w:pPr>
              <w:rPr>
                <w:sz w:val="18"/>
              </w:rPr>
            </w:pPr>
            <w:r w:rsidRPr="003378F4">
              <w:rPr>
                <w:sz w:val="18"/>
              </w:rPr>
              <w:t>0.29 ± 0.01</w:t>
            </w:r>
          </w:p>
        </w:tc>
        <w:tc>
          <w:tcPr>
            <w:tcW w:w="1156" w:type="dxa"/>
            <w:tcBorders>
              <w:top w:val="single" w:sz="4" w:space="0" w:color="auto"/>
              <w:bottom w:val="nil"/>
            </w:tcBorders>
          </w:tcPr>
          <w:p w14:paraId="05F51497" w14:textId="6C8C8D07" w:rsidR="002A1A1F" w:rsidRPr="003378F4" w:rsidRDefault="002A1A1F" w:rsidP="002A1A1F">
            <w:pPr>
              <w:rPr>
                <w:sz w:val="18"/>
              </w:rPr>
            </w:pPr>
            <w:r>
              <w:rPr>
                <w:sz w:val="18"/>
              </w:rPr>
              <w:t>7.30</w:t>
            </w:r>
            <w:r w:rsidRPr="003378F4">
              <w:rPr>
                <w:sz w:val="18"/>
              </w:rPr>
              <w:t xml:space="preserve"> </w:t>
            </w:r>
            <w:r>
              <w:rPr>
                <w:sz w:val="18"/>
              </w:rPr>
              <w:t>± 0.08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</w:tcPr>
          <w:p w14:paraId="3EA0662A" w14:textId="6F62CF55" w:rsidR="002A1A1F" w:rsidRPr="003378F4" w:rsidRDefault="002A1A1F" w:rsidP="002A1A1F">
            <w:pPr>
              <w:rPr>
                <w:sz w:val="18"/>
              </w:rPr>
            </w:pPr>
            <w:r>
              <w:rPr>
                <w:sz w:val="18"/>
              </w:rPr>
              <w:t>4.71</w:t>
            </w:r>
            <w:r w:rsidRPr="003378F4">
              <w:rPr>
                <w:sz w:val="18"/>
              </w:rPr>
              <w:t xml:space="preserve"> </w:t>
            </w:r>
            <w:r>
              <w:rPr>
                <w:sz w:val="18"/>
              </w:rPr>
              <w:t>± 0.20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</w:tcPr>
          <w:p w14:paraId="77D58DDE" w14:textId="68082F0F" w:rsidR="002A1A1F" w:rsidRPr="003378F4" w:rsidRDefault="002A1A1F" w:rsidP="002A1A1F">
            <w:pPr>
              <w:rPr>
                <w:sz w:val="18"/>
              </w:rPr>
            </w:pPr>
            <w:r>
              <w:rPr>
                <w:sz w:val="18"/>
              </w:rPr>
              <w:t>0.28</w:t>
            </w:r>
            <w:r w:rsidRPr="003378F4">
              <w:rPr>
                <w:sz w:val="18"/>
              </w:rPr>
              <w:t xml:space="preserve"> </w:t>
            </w:r>
            <w:r>
              <w:rPr>
                <w:sz w:val="18"/>
              </w:rPr>
              <w:t>± 0.01</w:t>
            </w:r>
          </w:p>
        </w:tc>
      </w:tr>
      <w:tr w:rsidR="002A1A1F" w14:paraId="78E3FA6E" w14:textId="77777777" w:rsidTr="007F4DA3">
        <w:tc>
          <w:tcPr>
            <w:tcW w:w="2875" w:type="dxa"/>
            <w:tcBorders>
              <w:top w:val="nil"/>
              <w:bottom w:val="nil"/>
            </w:tcBorders>
          </w:tcPr>
          <w:p w14:paraId="48273091" w14:textId="28F13B1C" w:rsidR="002A1A1F" w:rsidRPr="00E40D0F" w:rsidRDefault="002A1A1F" w:rsidP="002A1A1F">
            <w:pPr>
              <w:rPr>
                <w:b/>
                <w:sz w:val="18"/>
              </w:rPr>
            </w:pPr>
            <w:r w:rsidRPr="00E40D0F">
              <w:rPr>
                <w:b/>
                <w:sz w:val="18"/>
              </w:rPr>
              <w:t xml:space="preserve">IMF42 </w:t>
            </w:r>
            <w:r w:rsidRPr="00E40D0F">
              <w:rPr>
                <w:sz w:val="18"/>
              </w:rPr>
              <w:t>(Lin)</w:t>
            </w:r>
          </w:p>
        </w:tc>
        <w:tc>
          <w:tcPr>
            <w:tcW w:w="1298" w:type="dxa"/>
            <w:gridSpan w:val="2"/>
            <w:tcBorders>
              <w:top w:val="nil"/>
              <w:bottom w:val="nil"/>
            </w:tcBorders>
          </w:tcPr>
          <w:p w14:paraId="4E32592F" w14:textId="152D1AFE" w:rsidR="002A1A1F" w:rsidRPr="003378F4" w:rsidRDefault="002A1A1F" w:rsidP="002A1A1F">
            <w:pPr>
              <w:rPr>
                <w:sz w:val="18"/>
              </w:rPr>
            </w:pPr>
            <w:r>
              <w:rPr>
                <w:sz w:val="18"/>
              </w:rPr>
              <w:t xml:space="preserve">0.048 </w:t>
            </w:r>
            <w:r w:rsidRPr="003378F4">
              <w:rPr>
                <w:sz w:val="18"/>
              </w:rPr>
              <w:t>± 0.002</w:t>
            </w:r>
          </w:p>
        </w:tc>
        <w:tc>
          <w:tcPr>
            <w:tcW w:w="1298" w:type="dxa"/>
            <w:gridSpan w:val="2"/>
            <w:tcBorders>
              <w:top w:val="nil"/>
              <w:bottom w:val="nil"/>
            </w:tcBorders>
          </w:tcPr>
          <w:p w14:paraId="5D2B3B6E" w14:textId="3987CAA0" w:rsidR="002A1A1F" w:rsidRPr="003378F4" w:rsidRDefault="002A1A1F" w:rsidP="002A1A1F">
            <w:pPr>
              <w:rPr>
                <w:sz w:val="18"/>
              </w:rPr>
            </w:pPr>
            <w:r w:rsidRPr="003378F4">
              <w:rPr>
                <w:sz w:val="18"/>
              </w:rPr>
              <w:t>0.029</w:t>
            </w:r>
            <w:r>
              <w:rPr>
                <w:sz w:val="18"/>
              </w:rPr>
              <w:t xml:space="preserve"> </w:t>
            </w:r>
            <w:r w:rsidRPr="003378F4">
              <w:rPr>
                <w:sz w:val="18"/>
              </w:rPr>
              <w:t>± 0.001</w:t>
            </w:r>
          </w:p>
        </w:tc>
        <w:tc>
          <w:tcPr>
            <w:tcW w:w="1115" w:type="dxa"/>
            <w:gridSpan w:val="2"/>
            <w:tcBorders>
              <w:top w:val="nil"/>
              <w:bottom w:val="nil"/>
            </w:tcBorders>
          </w:tcPr>
          <w:p w14:paraId="668CF729" w14:textId="5782D04C" w:rsidR="002A1A1F" w:rsidRPr="003378F4" w:rsidRDefault="002A1A1F" w:rsidP="002A1A1F">
            <w:pPr>
              <w:rPr>
                <w:sz w:val="18"/>
              </w:rPr>
            </w:pPr>
            <w:r w:rsidRPr="003378F4">
              <w:rPr>
                <w:sz w:val="18"/>
              </w:rPr>
              <w:t>0.30</w:t>
            </w:r>
            <w:r>
              <w:rPr>
                <w:sz w:val="18"/>
              </w:rPr>
              <w:t xml:space="preserve"> </w:t>
            </w:r>
            <w:r w:rsidRPr="003378F4">
              <w:rPr>
                <w:sz w:val="18"/>
              </w:rPr>
              <w:t>± 0.01</w:t>
            </w:r>
          </w:p>
        </w:tc>
        <w:tc>
          <w:tcPr>
            <w:tcW w:w="1156" w:type="dxa"/>
            <w:tcBorders>
              <w:top w:val="nil"/>
              <w:bottom w:val="nil"/>
            </w:tcBorders>
          </w:tcPr>
          <w:p w14:paraId="23E0268E" w14:textId="3C44A2F9" w:rsidR="002A1A1F" w:rsidRPr="003378F4" w:rsidRDefault="002A1A1F" w:rsidP="002A1A1F">
            <w:pPr>
              <w:rPr>
                <w:sz w:val="18"/>
              </w:rPr>
            </w:pPr>
            <w:r>
              <w:rPr>
                <w:sz w:val="18"/>
              </w:rPr>
              <w:t>6.70</w:t>
            </w:r>
            <w:r w:rsidRPr="003378F4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± 0.12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 w14:paraId="0697CFBE" w14:textId="088593C5" w:rsidR="002A1A1F" w:rsidRPr="003378F4" w:rsidRDefault="002A1A1F" w:rsidP="002A1A1F">
            <w:pPr>
              <w:rPr>
                <w:sz w:val="18"/>
              </w:rPr>
            </w:pPr>
            <w:r>
              <w:rPr>
                <w:sz w:val="18"/>
              </w:rPr>
              <w:t>5.02</w:t>
            </w:r>
            <w:r w:rsidRPr="003378F4">
              <w:rPr>
                <w:sz w:val="18"/>
              </w:rPr>
              <w:t xml:space="preserve"> </w:t>
            </w:r>
            <w:r>
              <w:rPr>
                <w:sz w:val="18"/>
              </w:rPr>
              <w:t>± 0.15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 w14:paraId="46990F12" w14:textId="1FB8C7A3" w:rsidR="002A1A1F" w:rsidRPr="003378F4" w:rsidRDefault="002A1A1F" w:rsidP="002A1A1F">
            <w:pPr>
              <w:rPr>
                <w:sz w:val="18"/>
              </w:rPr>
            </w:pPr>
            <w:r w:rsidRPr="003378F4">
              <w:rPr>
                <w:sz w:val="18"/>
              </w:rPr>
              <w:t>0</w:t>
            </w:r>
            <w:r>
              <w:rPr>
                <w:sz w:val="18"/>
              </w:rPr>
              <w:t xml:space="preserve">.28 </w:t>
            </w:r>
            <w:r w:rsidRPr="003378F4">
              <w:rPr>
                <w:sz w:val="18"/>
              </w:rPr>
              <w:t>± 0.00</w:t>
            </w:r>
          </w:p>
        </w:tc>
      </w:tr>
      <w:tr w:rsidR="002A1A1F" w14:paraId="1E024361" w14:textId="77777777" w:rsidTr="007F4DA3">
        <w:tc>
          <w:tcPr>
            <w:tcW w:w="2875" w:type="dxa"/>
            <w:tcBorders>
              <w:top w:val="nil"/>
              <w:bottom w:val="single" w:sz="4" w:space="0" w:color="auto"/>
            </w:tcBorders>
          </w:tcPr>
          <w:p w14:paraId="5D0B4672" w14:textId="78D040E3" w:rsidR="002A1A1F" w:rsidRPr="00CE59FA" w:rsidRDefault="002A1A1F" w:rsidP="00E8729A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IMF48 </w:t>
            </w:r>
            <w:r w:rsidR="007F4DA3">
              <w:rPr>
                <w:sz w:val="18"/>
              </w:rPr>
              <w:t xml:space="preserve">(Lin, 9x </w:t>
            </w:r>
            <w:r w:rsidR="007F4DA3" w:rsidRPr="007F4DA3">
              <w:rPr>
                <w:i/>
                <w:sz w:val="18"/>
              </w:rPr>
              <w:t>coAtCHS3, coAtANS</w:t>
            </w:r>
            <w:r w:rsidR="007F4DA3" w:rsidRPr="00CE59FA">
              <w:rPr>
                <w:sz w:val="18"/>
              </w:rPr>
              <w:t>)</w:t>
            </w:r>
          </w:p>
        </w:tc>
        <w:tc>
          <w:tcPr>
            <w:tcW w:w="1298" w:type="dxa"/>
            <w:gridSpan w:val="2"/>
            <w:tcBorders>
              <w:top w:val="nil"/>
              <w:bottom w:val="single" w:sz="4" w:space="0" w:color="auto"/>
            </w:tcBorders>
          </w:tcPr>
          <w:p w14:paraId="33E7E813" w14:textId="72C17E6F" w:rsidR="002A1A1F" w:rsidRPr="003378F4" w:rsidRDefault="002A1A1F" w:rsidP="002A1A1F">
            <w:pPr>
              <w:rPr>
                <w:sz w:val="18"/>
              </w:rPr>
            </w:pPr>
            <w:r>
              <w:rPr>
                <w:sz w:val="18"/>
              </w:rPr>
              <w:t xml:space="preserve">0.052 </w:t>
            </w:r>
            <w:r w:rsidRPr="003378F4">
              <w:rPr>
                <w:sz w:val="18"/>
              </w:rPr>
              <w:t>±</w:t>
            </w:r>
            <w:r>
              <w:rPr>
                <w:sz w:val="18"/>
              </w:rPr>
              <w:t xml:space="preserve"> 0.003</w:t>
            </w:r>
          </w:p>
        </w:tc>
        <w:tc>
          <w:tcPr>
            <w:tcW w:w="1298" w:type="dxa"/>
            <w:gridSpan w:val="2"/>
            <w:tcBorders>
              <w:top w:val="nil"/>
              <w:bottom w:val="single" w:sz="4" w:space="0" w:color="auto"/>
            </w:tcBorders>
          </w:tcPr>
          <w:p w14:paraId="528F54BE" w14:textId="2007EB1D" w:rsidR="002A1A1F" w:rsidRPr="003378F4" w:rsidRDefault="002A1A1F" w:rsidP="002A1A1F">
            <w:pPr>
              <w:rPr>
                <w:sz w:val="18"/>
              </w:rPr>
            </w:pPr>
            <w:r>
              <w:rPr>
                <w:sz w:val="18"/>
              </w:rPr>
              <w:t xml:space="preserve">0.019 </w:t>
            </w:r>
            <w:r w:rsidRPr="003378F4">
              <w:rPr>
                <w:sz w:val="18"/>
              </w:rPr>
              <w:t>±</w:t>
            </w:r>
            <w:r>
              <w:rPr>
                <w:sz w:val="18"/>
              </w:rPr>
              <w:t xml:space="preserve"> 0.003</w:t>
            </w:r>
          </w:p>
        </w:tc>
        <w:tc>
          <w:tcPr>
            <w:tcW w:w="1115" w:type="dxa"/>
            <w:gridSpan w:val="2"/>
            <w:tcBorders>
              <w:top w:val="nil"/>
              <w:bottom w:val="single" w:sz="4" w:space="0" w:color="auto"/>
            </w:tcBorders>
          </w:tcPr>
          <w:p w14:paraId="69B61BCB" w14:textId="3971EDDE" w:rsidR="002A1A1F" w:rsidRPr="003378F4" w:rsidRDefault="002A1A1F" w:rsidP="002A1A1F">
            <w:pPr>
              <w:rPr>
                <w:sz w:val="18"/>
              </w:rPr>
            </w:pPr>
            <w:r>
              <w:rPr>
                <w:sz w:val="18"/>
              </w:rPr>
              <w:t xml:space="preserve">0.27 </w:t>
            </w:r>
            <w:r w:rsidRPr="003378F4">
              <w:rPr>
                <w:sz w:val="18"/>
              </w:rPr>
              <w:t>±</w:t>
            </w:r>
            <w:r>
              <w:rPr>
                <w:sz w:val="18"/>
              </w:rPr>
              <w:t xml:space="preserve"> 0.01</w:t>
            </w:r>
          </w:p>
        </w:tc>
        <w:tc>
          <w:tcPr>
            <w:tcW w:w="1156" w:type="dxa"/>
            <w:tcBorders>
              <w:top w:val="nil"/>
              <w:bottom w:val="single" w:sz="4" w:space="0" w:color="auto"/>
            </w:tcBorders>
          </w:tcPr>
          <w:p w14:paraId="0A552719" w14:textId="280CA088" w:rsidR="002A1A1F" w:rsidRDefault="002A1A1F" w:rsidP="002A1A1F">
            <w:pPr>
              <w:rPr>
                <w:sz w:val="18"/>
              </w:rPr>
            </w:pPr>
            <w:r>
              <w:rPr>
                <w:sz w:val="18"/>
              </w:rPr>
              <w:t>20.2</w:t>
            </w:r>
            <w:r w:rsidRPr="003378F4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± 0.59</w:t>
            </w:r>
          </w:p>
        </w:tc>
        <w:tc>
          <w:tcPr>
            <w:tcW w:w="1213" w:type="dxa"/>
            <w:tcBorders>
              <w:top w:val="nil"/>
              <w:bottom w:val="single" w:sz="4" w:space="0" w:color="auto"/>
            </w:tcBorders>
          </w:tcPr>
          <w:p w14:paraId="7FC99038" w14:textId="2A607FD5" w:rsidR="002A1A1F" w:rsidRDefault="00C34890" w:rsidP="00C34890">
            <w:pPr>
              <w:rPr>
                <w:sz w:val="18"/>
              </w:rPr>
            </w:pPr>
            <w:r>
              <w:rPr>
                <w:sz w:val="18"/>
              </w:rPr>
              <w:t>5.89</w:t>
            </w:r>
            <w:r w:rsidRPr="003378F4">
              <w:rPr>
                <w:sz w:val="18"/>
              </w:rPr>
              <w:t xml:space="preserve"> </w:t>
            </w:r>
            <w:r>
              <w:rPr>
                <w:sz w:val="18"/>
              </w:rPr>
              <w:t>± 0.35</w:t>
            </w:r>
          </w:p>
        </w:tc>
        <w:tc>
          <w:tcPr>
            <w:tcW w:w="1213" w:type="dxa"/>
            <w:tcBorders>
              <w:top w:val="nil"/>
              <w:bottom w:val="single" w:sz="4" w:space="0" w:color="auto"/>
            </w:tcBorders>
          </w:tcPr>
          <w:p w14:paraId="302F349D" w14:textId="4E13459F" w:rsidR="002A1A1F" w:rsidRPr="003378F4" w:rsidRDefault="002A1A1F" w:rsidP="002A1A1F">
            <w:pPr>
              <w:rPr>
                <w:sz w:val="18"/>
              </w:rPr>
            </w:pPr>
            <w:r>
              <w:rPr>
                <w:sz w:val="18"/>
              </w:rPr>
              <w:t xml:space="preserve">2.85 </w:t>
            </w:r>
            <w:r w:rsidRPr="003378F4">
              <w:rPr>
                <w:sz w:val="18"/>
              </w:rPr>
              <w:t>±</w:t>
            </w:r>
            <w:r>
              <w:rPr>
                <w:sz w:val="18"/>
              </w:rPr>
              <w:t xml:space="preserve"> 0.02</w:t>
            </w:r>
          </w:p>
        </w:tc>
      </w:tr>
    </w:tbl>
    <w:p w14:paraId="32DF8742" w14:textId="4BE438D8" w:rsidR="007828EE" w:rsidRPr="00765846" w:rsidRDefault="00C34890" w:rsidP="00765846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2A1A1F">
        <w:rPr>
          <w:vertAlign w:val="superscript"/>
        </w:rPr>
        <w:t>a</w:t>
      </w:r>
      <w:r>
        <w:t xml:space="preserve"> Determined for the </w:t>
      </w:r>
      <w:r w:rsidR="0039384D">
        <w:t xml:space="preserve">glucose </w:t>
      </w:r>
      <w:r>
        <w:t xml:space="preserve">phase only </w:t>
      </w:r>
      <w:bookmarkStart w:id="0" w:name="_GoBack"/>
      <w:bookmarkEnd w:id="0"/>
    </w:p>
    <w:sectPr w:rsidR="007828EE" w:rsidRPr="0076584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78FA6" w14:textId="77777777" w:rsidR="00AA3D78" w:rsidRDefault="00AA3D78" w:rsidP="00761906">
      <w:pPr>
        <w:spacing w:after="0" w:line="240" w:lineRule="auto"/>
      </w:pPr>
      <w:r>
        <w:separator/>
      </w:r>
    </w:p>
  </w:endnote>
  <w:endnote w:type="continuationSeparator" w:id="0">
    <w:p w14:paraId="706845D1" w14:textId="77777777" w:rsidR="00AA3D78" w:rsidRDefault="00AA3D78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5DB201E1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58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070A7" w14:textId="77777777" w:rsidR="00AA3D78" w:rsidRDefault="00AA3D78" w:rsidP="00761906">
      <w:pPr>
        <w:spacing w:after="0" w:line="240" w:lineRule="auto"/>
      </w:pPr>
      <w:r>
        <w:separator/>
      </w:r>
    </w:p>
  </w:footnote>
  <w:footnote w:type="continuationSeparator" w:id="0">
    <w:p w14:paraId="4ECE28E9" w14:textId="77777777" w:rsidR="00AA3D78" w:rsidRDefault="00AA3D78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6584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3D78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56FE3-3DF8-4162-BAD5-08F1BCE6C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2021-11-22T14:16:00Z</dcterms:created>
  <dcterms:modified xsi:type="dcterms:W3CDTF">2021-11-22T14:16:00Z</dcterms:modified>
</cp:coreProperties>
</file>