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D9E0E" w14:textId="2B01C37A" w:rsidR="00572BD1" w:rsidRDefault="000364D9">
      <w:pPr>
        <w:pStyle w:val="Heading2"/>
      </w:pPr>
      <w:bookmarkStart w:id="0" w:name="_Hlk68778379"/>
      <w:r>
        <w:t xml:space="preserve">Supplementary </w:t>
      </w:r>
      <w:r w:rsidR="00572BD1">
        <w:t xml:space="preserve">Figure </w:t>
      </w:r>
      <w:fldSimple w:instr=" SEQ Figure \* ARABIC ">
        <w:r w:rsidR="00BF2676">
          <w:rPr>
            <w:noProof/>
          </w:rPr>
          <w:t>5</w:t>
        </w:r>
      </w:fldSimple>
      <w:r w:rsidR="00572BD1">
        <w:t xml:space="preserve"> </w:t>
      </w:r>
      <w:r w:rsidR="00081963">
        <w:t xml:space="preserve">- </w:t>
      </w:r>
      <w:r w:rsidR="00572BD1">
        <w:t>NeoChr copy number estimation based on fluorescence</w:t>
      </w:r>
    </w:p>
    <w:p w14:paraId="0DAF8D32" w14:textId="76DE7963" w:rsidR="00572BD1" w:rsidRDefault="00572BD1" w:rsidP="00DB7022">
      <w:pPr>
        <w:jc w:val="both"/>
      </w:pPr>
      <w:r w:rsidRPr="00572BD1">
        <w:t>mRuby2</w:t>
      </w:r>
      <w:r>
        <w:t xml:space="preserve"> and mTurquoise2</w:t>
      </w:r>
      <w:r w:rsidRPr="00572BD1">
        <w:t xml:space="preserve"> fluorescence</w:t>
      </w:r>
      <w:bookmarkEnd w:id="0"/>
      <w:r w:rsidR="00081963">
        <w:t xml:space="preserve"> was measured by flow cytometry</w:t>
      </w:r>
      <w:r w:rsidRPr="00572BD1">
        <w:t xml:space="preserve">. CEN.PK113-7D with no </w:t>
      </w:r>
      <w:r>
        <w:t>fluorescent markers</w:t>
      </w:r>
      <w:r w:rsidRPr="00572BD1">
        <w:t xml:space="preserve"> was used as negative control</w:t>
      </w:r>
      <w:r w:rsidR="00DB7022">
        <w:t>. IMX2224 and IMX2226</w:t>
      </w:r>
      <w:r w:rsidRPr="00572BD1">
        <w:t xml:space="preserve"> with a single copy of </w:t>
      </w:r>
      <w:r w:rsidRPr="00DB7022">
        <w:rPr>
          <w:i/>
          <w:iCs/>
        </w:rPr>
        <w:t>mRuby2</w:t>
      </w:r>
      <w:r w:rsidR="00DB7022">
        <w:t xml:space="preserve"> and </w:t>
      </w:r>
      <w:r w:rsidR="00DB7022" w:rsidRPr="00DB7022">
        <w:rPr>
          <w:i/>
          <w:iCs/>
        </w:rPr>
        <w:t>mTurquoise2</w:t>
      </w:r>
      <w:r w:rsidRPr="00572BD1">
        <w:t xml:space="preserve"> integrated in the genome</w:t>
      </w:r>
      <w:r w:rsidR="00DB7022">
        <w:t>, respectively, were used as</w:t>
      </w:r>
      <w:r w:rsidRPr="00572BD1">
        <w:t xml:space="preserve"> positive control</w:t>
      </w:r>
      <w:r w:rsidR="00DB7022">
        <w:t>s</w:t>
      </w:r>
      <w:r w:rsidRPr="00572BD1">
        <w:t>.</w:t>
      </w:r>
      <w:r w:rsidR="00DB7022">
        <w:t xml:space="preserve"> All </w:t>
      </w:r>
      <w:r w:rsidR="005A5E5F">
        <w:t xml:space="preserve">strains </w:t>
      </w:r>
      <w:r w:rsidR="00DB7022">
        <w:t>show</w:t>
      </w:r>
      <w:r w:rsidR="00081963">
        <w:t>ed</w:t>
      </w:r>
      <w:r w:rsidR="00DB7022">
        <w:t xml:space="preserve"> a fluorescence corresponding to </w:t>
      </w:r>
      <w:r w:rsidR="000364D9">
        <w:t xml:space="preserve">the expected </w:t>
      </w:r>
      <w:r w:rsidR="005A5E5F">
        <w:t>NeoChr</w:t>
      </w:r>
      <w:r w:rsidR="000364D9">
        <w:t>.</w:t>
      </w:r>
      <w:r w:rsidR="007106BC">
        <w:t xml:space="preserve"> copy number.</w:t>
      </w:r>
    </w:p>
    <w:p w14:paraId="06EF3152" w14:textId="4B0B2EB9" w:rsidR="00C64898" w:rsidRPr="00D44BE8" w:rsidRDefault="00C64898" w:rsidP="00DB7022">
      <w:pPr>
        <w:jc w:val="both"/>
      </w:pPr>
      <w:r>
        <w:rPr>
          <w:noProof/>
          <w:lang w:val="fr-FR" w:eastAsia="fr-FR"/>
        </w:rPr>
        <w:drawing>
          <wp:inline distT="0" distB="0" distL="0" distR="0" wp14:anchorId="070C4C7F" wp14:editId="0C31B4A6">
            <wp:extent cx="5943600" cy="4933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S.5 NeoChr copy number based on fluorescence.t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B3187" w14:textId="5A07DF02" w:rsidR="008713F8" w:rsidRDefault="008713F8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1" w:name="_GoBack"/>
      <w:bookmarkEnd w:id="1"/>
    </w:p>
    <w:sectPr w:rsidR="00871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5157C" w14:textId="77777777" w:rsidR="00DB6707" w:rsidRDefault="00DB6707" w:rsidP="00761906">
      <w:pPr>
        <w:spacing w:after="0" w:line="240" w:lineRule="auto"/>
      </w:pPr>
      <w:r>
        <w:separator/>
      </w:r>
    </w:p>
  </w:endnote>
  <w:endnote w:type="continuationSeparator" w:id="0">
    <w:p w14:paraId="2DFA174F" w14:textId="77777777" w:rsidR="00DB6707" w:rsidRDefault="00DB6707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F8832" w14:textId="77777777" w:rsidR="00DB6707" w:rsidRDefault="00DB6707" w:rsidP="00761906">
      <w:pPr>
        <w:spacing w:after="0" w:line="240" w:lineRule="auto"/>
      </w:pPr>
      <w:r>
        <w:separator/>
      </w:r>
    </w:p>
  </w:footnote>
  <w:footnote w:type="continuationSeparator" w:id="0">
    <w:p w14:paraId="41BAC270" w14:textId="77777777" w:rsidR="00DB6707" w:rsidRDefault="00DB6707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B15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6707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07EF3-1A65-4ED8-8A82-B3354B97B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2021-11-22T13:53:00Z</dcterms:created>
  <dcterms:modified xsi:type="dcterms:W3CDTF">2021-11-22T13:53:00Z</dcterms:modified>
</cp:coreProperties>
</file>