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1273" w:tblpY="-892"/>
        <w:tblW w:w="5000" w:type="pct"/>
        <w:tblLook w:val="04A0" w:firstRow="1" w:lastRow="0" w:firstColumn="1" w:lastColumn="0" w:noHBand="0" w:noVBand="1"/>
      </w:tblPr>
      <w:tblGrid>
        <w:gridCol w:w="867"/>
        <w:gridCol w:w="2033"/>
        <w:gridCol w:w="2036"/>
        <w:gridCol w:w="2036"/>
        <w:gridCol w:w="2038"/>
      </w:tblGrid>
      <w:tr w:rsidR="00A509EB" w:rsidRPr="00F23A30" w14:paraId="389D7945" w14:textId="77777777" w:rsidTr="00A509EB">
        <w:trPr>
          <w:cantSplit/>
          <w:trHeight w:val="390"/>
        </w:trPr>
        <w:tc>
          <w:tcPr>
            <w:tcW w:w="376" w:type="pct"/>
            <w:vAlign w:val="center"/>
          </w:tcPr>
          <w:p w14:paraId="26D7883E" w14:textId="77777777" w:rsidR="00A509EB" w:rsidRPr="00151AA2" w:rsidRDefault="00A509EB" w:rsidP="00A55F6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151AA2">
              <w:rPr>
                <w:b/>
                <w:bCs/>
                <w:sz w:val="18"/>
                <w:szCs w:val="18"/>
              </w:rPr>
              <w:t>Case</w:t>
            </w:r>
          </w:p>
        </w:tc>
        <w:tc>
          <w:tcPr>
            <w:tcW w:w="1155" w:type="pct"/>
          </w:tcPr>
          <w:p w14:paraId="35927968" w14:textId="77777777" w:rsidR="00A509EB" w:rsidRPr="00F23A30" w:rsidRDefault="00A509EB" w:rsidP="00A55F6E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Value Proposition</w:t>
            </w:r>
          </w:p>
        </w:tc>
        <w:tc>
          <w:tcPr>
            <w:tcW w:w="1156" w:type="pct"/>
          </w:tcPr>
          <w:p w14:paraId="4F485E2D" w14:textId="77777777" w:rsidR="00A509EB" w:rsidRPr="00F23A30" w:rsidRDefault="00A509EB" w:rsidP="00A55F6E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Value Architecture</w:t>
            </w:r>
          </w:p>
        </w:tc>
        <w:tc>
          <w:tcPr>
            <w:tcW w:w="1156" w:type="pct"/>
          </w:tcPr>
          <w:p w14:paraId="2651C48F" w14:textId="77777777" w:rsidR="00A509EB" w:rsidRDefault="00A509EB" w:rsidP="00A55F6E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Value Network</w:t>
            </w:r>
          </w:p>
        </w:tc>
        <w:tc>
          <w:tcPr>
            <w:tcW w:w="1157" w:type="pct"/>
          </w:tcPr>
          <w:p w14:paraId="29EE5E1E" w14:textId="77777777" w:rsidR="00A509EB" w:rsidRDefault="00A509EB" w:rsidP="00A55F6E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Value Finance</w:t>
            </w:r>
          </w:p>
        </w:tc>
      </w:tr>
      <w:tr w:rsidR="00A509EB" w:rsidRPr="00F23A30" w14:paraId="05742D6E" w14:textId="77777777" w:rsidTr="00A509EB">
        <w:trPr>
          <w:cantSplit/>
          <w:trHeight w:val="863"/>
        </w:trPr>
        <w:tc>
          <w:tcPr>
            <w:tcW w:w="376" w:type="pct"/>
            <w:vAlign w:val="center"/>
          </w:tcPr>
          <w:p w14:paraId="0C4213C7" w14:textId="77777777" w:rsidR="00A509EB" w:rsidRPr="00151AA2" w:rsidRDefault="00A509EB" w:rsidP="00A55F6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151AA2">
              <w:rPr>
                <w:b/>
                <w:bCs/>
                <w:sz w:val="18"/>
                <w:szCs w:val="18"/>
              </w:rPr>
              <w:t>SSO</w:t>
            </w:r>
          </w:p>
        </w:tc>
        <w:tc>
          <w:tcPr>
            <w:tcW w:w="1155" w:type="pct"/>
          </w:tcPr>
          <w:p w14:paraId="5DFD6640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 w:rsidRPr="00F23A30">
              <w:rPr>
                <w:sz w:val="18"/>
                <w:szCs w:val="18"/>
              </w:rPr>
              <w:t xml:space="preserve">SSO is a partnership broker that facilitates access by </w:t>
            </w:r>
            <w:r>
              <w:rPr>
                <w:sz w:val="18"/>
                <w:szCs w:val="18"/>
              </w:rPr>
              <w:t xml:space="preserve">academic </w:t>
            </w:r>
            <w:r w:rsidRPr="00F23A30">
              <w:rPr>
                <w:sz w:val="18"/>
                <w:szCs w:val="18"/>
              </w:rPr>
              <w:t xml:space="preserve">researchers to company data (e.g. Facebook)  </w:t>
            </w:r>
          </w:p>
        </w:tc>
        <w:tc>
          <w:tcPr>
            <w:tcW w:w="1156" w:type="pct"/>
          </w:tcPr>
          <w:p w14:paraId="5D487E7D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 w:rsidRPr="00F23A30">
              <w:rPr>
                <w:sz w:val="18"/>
                <w:szCs w:val="18"/>
              </w:rPr>
              <w:t xml:space="preserve">A commission of senior academics acts as a trusted third party and gets access to company’s data to formulate potential research questions </w:t>
            </w:r>
          </w:p>
        </w:tc>
        <w:tc>
          <w:tcPr>
            <w:tcW w:w="1156" w:type="pct"/>
          </w:tcPr>
          <w:p w14:paraId="41296810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 w:rsidRPr="00F23A30">
              <w:rPr>
                <w:sz w:val="18"/>
                <w:szCs w:val="18"/>
              </w:rPr>
              <w:t>SSO is incubated at Harvard University and is supported by a diverse group of non-profit foundations</w:t>
            </w:r>
          </w:p>
        </w:tc>
        <w:tc>
          <w:tcPr>
            <w:tcW w:w="1157" w:type="pct"/>
          </w:tcPr>
          <w:p w14:paraId="6C8A01CE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 w:rsidRPr="00F23A30">
              <w:rPr>
                <w:sz w:val="18"/>
                <w:szCs w:val="18"/>
              </w:rPr>
              <w:t>Funded by non-profit foundations</w:t>
            </w:r>
          </w:p>
        </w:tc>
      </w:tr>
      <w:tr w:rsidR="00A509EB" w:rsidRPr="00F23A30" w14:paraId="7B9F10FE" w14:textId="77777777" w:rsidTr="00A509EB">
        <w:trPr>
          <w:cantSplit/>
          <w:trHeight w:val="1271"/>
        </w:trPr>
        <w:tc>
          <w:tcPr>
            <w:tcW w:w="376" w:type="pct"/>
            <w:vAlign w:val="center"/>
          </w:tcPr>
          <w:p w14:paraId="54FF9686" w14:textId="77777777" w:rsidR="00A509EB" w:rsidRPr="00151AA2" w:rsidRDefault="00A509EB" w:rsidP="00A55F6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1AA2">
              <w:rPr>
                <w:b/>
                <w:bCs/>
                <w:sz w:val="18"/>
                <w:szCs w:val="18"/>
              </w:rPr>
              <w:t>Vivli</w:t>
            </w:r>
            <w:proofErr w:type="spellEnd"/>
          </w:p>
        </w:tc>
        <w:tc>
          <w:tcPr>
            <w:tcW w:w="1155" w:type="pct"/>
          </w:tcPr>
          <w:p w14:paraId="6C3E6A0B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proofErr w:type="spellStart"/>
            <w:r w:rsidRPr="00F23A30">
              <w:rPr>
                <w:sz w:val="18"/>
                <w:szCs w:val="18"/>
              </w:rPr>
              <w:t>Vivli</w:t>
            </w:r>
            <w:proofErr w:type="spellEnd"/>
            <w:r w:rsidRPr="00F23A30">
              <w:rPr>
                <w:sz w:val="18"/>
                <w:szCs w:val="18"/>
              </w:rPr>
              <w:t xml:space="preserve"> provides a one-stop-shop data sharing and analytics platform for accessing clinical trials data from private and public sector sponsors to increase discoverability of data and capacity for data sharing and re-use</w:t>
            </w:r>
          </w:p>
        </w:tc>
        <w:tc>
          <w:tcPr>
            <w:tcW w:w="1156" w:type="pct"/>
          </w:tcPr>
          <w:p w14:paraId="31772042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 w:rsidRPr="00F23A30">
              <w:rPr>
                <w:sz w:val="18"/>
                <w:szCs w:val="18"/>
              </w:rPr>
              <w:t>Provides a cloud-based platform powered by Microsoft that consists of a dynamic search engine, a data repository, and a secure research environment</w:t>
            </w:r>
          </w:p>
        </w:tc>
        <w:tc>
          <w:tcPr>
            <w:tcW w:w="1156" w:type="pct"/>
          </w:tcPr>
          <w:p w14:paraId="421D4BFC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 w:rsidRPr="00F23A30">
              <w:rPr>
                <w:sz w:val="18"/>
                <w:szCs w:val="18"/>
              </w:rPr>
              <w:t>Supported by a membership structure from industry, academia, and non-profits</w:t>
            </w:r>
          </w:p>
        </w:tc>
        <w:tc>
          <w:tcPr>
            <w:tcW w:w="1157" w:type="pct"/>
          </w:tcPr>
          <w:p w14:paraId="78F8CB60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 w:rsidRPr="00F23A30">
              <w:rPr>
                <w:sz w:val="18"/>
                <w:szCs w:val="18"/>
              </w:rPr>
              <w:t>Funded by non-profit foundations; data providers and users contribute to the administrative costs of running the platform</w:t>
            </w:r>
          </w:p>
        </w:tc>
      </w:tr>
      <w:tr w:rsidR="00A509EB" w:rsidRPr="00F23A30" w14:paraId="3B8A670A" w14:textId="77777777" w:rsidTr="00A509EB">
        <w:trPr>
          <w:cantSplit/>
          <w:trHeight w:val="1261"/>
        </w:trPr>
        <w:tc>
          <w:tcPr>
            <w:tcW w:w="376" w:type="pct"/>
            <w:vAlign w:val="center"/>
          </w:tcPr>
          <w:p w14:paraId="205BC880" w14:textId="77777777" w:rsidR="00A509EB" w:rsidRPr="00151AA2" w:rsidRDefault="00A509EB" w:rsidP="00A55F6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HDX</w:t>
            </w:r>
          </w:p>
        </w:tc>
        <w:tc>
          <w:tcPr>
            <w:tcW w:w="1155" w:type="pct"/>
          </w:tcPr>
          <w:p w14:paraId="7C27A373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HDX, administered by UN OCHA, provides an open one-stop-shop platform for sharing data across humanitarian organizations and crises with the aim of increasing the efficiency, coordination, and speed of humanitarian response</w:t>
            </w:r>
          </w:p>
        </w:tc>
        <w:tc>
          <w:tcPr>
            <w:tcW w:w="1156" w:type="pct"/>
          </w:tcPr>
          <w:p w14:paraId="17B66186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open platform for UN agencies, NGOs, governments for sharing and using humanitarian data, developed a data sharing standard (HXL), and employs a quality assurance process prior to data publication</w:t>
            </w:r>
          </w:p>
        </w:tc>
        <w:tc>
          <w:tcPr>
            <w:tcW w:w="1156" w:type="pct"/>
          </w:tcPr>
          <w:p w14:paraId="4AC81723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Administered by UN OCHA and Center for Humanitarian Data</w:t>
            </w:r>
          </w:p>
        </w:tc>
        <w:tc>
          <w:tcPr>
            <w:tcW w:w="1157" w:type="pct"/>
          </w:tcPr>
          <w:p w14:paraId="792C8229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Initial funding from national governments of UK and Sweden, later from a non-profit foundation, and presently by UN OCHA budget and Dutch government</w:t>
            </w:r>
          </w:p>
        </w:tc>
      </w:tr>
      <w:tr w:rsidR="00A509EB" w:rsidRPr="00F23A30" w14:paraId="7C9B34C7" w14:textId="77777777" w:rsidTr="00A509EB">
        <w:trPr>
          <w:cantSplit/>
          <w:trHeight w:val="1124"/>
        </w:trPr>
        <w:tc>
          <w:tcPr>
            <w:tcW w:w="376" w:type="pct"/>
            <w:vAlign w:val="center"/>
          </w:tcPr>
          <w:p w14:paraId="479FC61F" w14:textId="77777777" w:rsidR="00A509EB" w:rsidRPr="00151AA2" w:rsidRDefault="00A509EB" w:rsidP="00A55F6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GFW</w:t>
            </w:r>
          </w:p>
        </w:tc>
        <w:tc>
          <w:tcPr>
            <w:tcW w:w="1155" w:type="pct"/>
          </w:tcPr>
          <w:p w14:paraId="578064C8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Global Forest Watch is an interactive online forest monitoring and alert platform that empowers anyone with timeliest and most precise information to better manage and conserve forests around the globe</w:t>
            </w:r>
          </w:p>
        </w:tc>
        <w:tc>
          <w:tcPr>
            <w:tcW w:w="1156" w:type="pct"/>
          </w:tcPr>
          <w:p w14:paraId="73A73E78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a suite of applications </w:t>
            </w:r>
            <w:r w:rsidRPr="00C4565C">
              <w:rPr>
                <w:sz w:val="18"/>
                <w:szCs w:val="18"/>
              </w:rPr>
              <w:t>to create custom maps, analyze forest trends, subscribe to alerts, or download data</w:t>
            </w:r>
            <w:r>
              <w:rPr>
                <w:sz w:val="18"/>
                <w:szCs w:val="18"/>
              </w:rPr>
              <w:t>; users can also contribute data and stories from the ground via a crowdsourcing function</w:t>
            </w:r>
          </w:p>
        </w:tc>
        <w:tc>
          <w:tcPr>
            <w:tcW w:w="1156" w:type="pct"/>
          </w:tcPr>
          <w:p w14:paraId="72147E6C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Initiated by</w:t>
            </w:r>
            <w:r w:rsidRPr="00C4565C">
              <w:rPr>
                <w:sz w:val="18"/>
                <w:szCs w:val="18"/>
              </w:rPr>
              <w:t xml:space="preserve"> the World Resources Institute, with partners including Google, USAID, the University of Maryland, </w:t>
            </w:r>
            <w:proofErr w:type="spellStart"/>
            <w:r w:rsidRPr="00C4565C">
              <w:rPr>
                <w:sz w:val="18"/>
                <w:szCs w:val="18"/>
              </w:rPr>
              <w:t>Esri</w:t>
            </w:r>
            <w:proofErr w:type="spellEnd"/>
            <w:r w:rsidRPr="00C4565C">
              <w:rPr>
                <w:sz w:val="18"/>
                <w:szCs w:val="18"/>
              </w:rPr>
              <w:t xml:space="preserve">, </w:t>
            </w:r>
            <w:proofErr w:type="spellStart"/>
            <w:r w:rsidRPr="00C4565C">
              <w:rPr>
                <w:sz w:val="18"/>
                <w:szCs w:val="18"/>
              </w:rPr>
              <w:t>Vizzuality</w:t>
            </w:r>
            <w:proofErr w:type="spellEnd"/>
            <w:r w:rsidRPr="00C4565C">
              <w:rPr>
                <w:sz w:val="18"/>
                <w:szCs w:val="18"/>
              </w:rPr>
              <w:t xml:space="preserve"> and many other academic, non-profit, public, and private organizations</w:t>
            </w:r>
          </w:p>
        </w:tc>
        <w:tc>
          <w:tcPr>
            <w:tcW w:w="1157" w:type="pct"/>
          </w:tcPr>
          <w:p w14:paraId="1742E6C1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Platform is free to use; funding to the project from governments of US, US, Norway, non-profit foundations, and industry</w:t>
            </w:r>
          </w:p>
        </w:tc>
      </w:tr>
      <w:tr w:rsidR="00A509EB" w:rsidRPr="00F23A30" w14:paraId="2481E98F" w14:textId="77777777" w:rsidTr="00A509EB">
        <w:trPr>
          <w:cantSplit/>
          <w:trHeight w:val="1267"/>
        </w:trPr>
        <w:tc>
          <w:tcPr>
            <w:tcW w:w="376" w:type="pct"/>
            <w:vAlign w:val="center"/>
          </w:tcPr>
          <w:p w14:paraId="6944BF1C" w14:textId="77777777" w:rsidR="00A509EB" w:rsidRDefault="00A509EB" w:rsidP="00A55F6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AMdEX</w:t>
            </w:r>
            <w:proofErr w:type="spellEnd"/>
          </w:p>
        </w:tc>
        <w:tc>
          <w:tcPr>
            <w:tcW w:w="1155" w:type="pct"/>
          </w:tcPr>
          <w:p w14:paraId="0D648917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AMdEX</w:t>
            </w:r>
            <w:proofErr w:type="spellEnd"/>
            <w:r>
              <w:rPr>
                <w:sz w:val="18"/>
                <w:szCs w:val="18"/>
              </w:rPr>
              <w:t xml:space="preserve"> is a project in development that aims to create a trusted and secure open market for data in the Amsterdam area in which data contributors can control which data to share, with whom, and under what conditions</w:t>
            </w:r>
          </w:p>
        </w:tc>
        <w:tc>
          <w:tcPr>
            <w:tcW w:w="1156" w:type="pct"/>
          </w:tcPr>
          <w:p w14:paraId="64EBEAC1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 generic data exchange infrastructure using open standards to ensure easy integration and optimal interoperability based on the custom control agreement of data contributors</w:t>
            </w:r>
          </w:p>
        </w:tc>
        <w:tc>
          <w:tcPr>
            <w:tcW w:w="1156" w:type="pct"/>
          </w:tcPr>
          <w:p w14:paraId="4999DF2E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Initiated by the Amsterdam Economic Board and partners involved come from the government, academia, and industry</w:t>
            </w:r>
          </w:p>
        </w:tc>
        <w:tc>
          <w:tcPr>
            <w:tcW w:w="1157" w:type="pct"/>
          </w:tcPr>
          <w:p w14:paraId="2F13C539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156BB1">
              <w:rPr>
                <w:sz w:val="18"/>
                <w:szCs w:val="18"/>
              </w:rPr>
              <w:t>on-profit, government</w:t>
            </w:r>
            <w:r>
              <w:rPr>
                <w:sz w:val="18"/>
                <w:szCs w:val="18"/>
              </w:rPr>
              <w:t xml:space="preserve"> </w:t>
            </w:r>
            <w:r w:rsidRPr="00156BB1">
              <w:rPr>
                <w:sz w:val="18"/>
                <w:szCs w:val="18"/>
              </w:rPr>
              <w:t xml:space="preserve">funding, partner investments in exchange for use of the </w:t>
            </w:r>
            <w:proofErr w:type="spellStart"/>
            <w:r>
              <w:rPr>
                <w:sz w:val="18"/>
                <w:szCs w:val="18"/>
              </w:rPr>
              <w:t>AMdEX</w:t>
            </w:r>
            <w:proofErr w:type="spellEnd"/>
            <w:r>
              <w:rPr>
                <w:sz w:val="18"/>
                <w:szCs w:val="18"/>
              </w:rPr>
              <w:t>; p</w:t>
            </w:r>
            <w:r w:rsidRPr="00156BB1">
              <w:rPr>
                <w:sz w:val="18"/>
                <w:szCs w:val="18"/>
              </w:rPr>
              <w:t>roducts/</w:t>
            </w:r>
            <w:proofErr w:type="gramStart"/>
            <w:r w:rsidRPr="00156BB1">
              <w:rPr>
                <w:sz w:val="18"/>
                <w:szCs w:val="18"/>
              </w:rPr>
              <w:t>service related</w:t>
            </w:r>
            <w:proofErr w:type="gramEnd"/>
            <w:r w:rsidRPr="00156BB1">
              <w:rPr>
                <w:sz w:val="18"/>
                <w:szCs w:val="18"/>
              </w:rPr>
              <w:t xml:space="preserve"> fees for data contributors</w:t>
            </w:r>
          </w:p>
        </w:tc>
      </w:tr>
      <w:tr w:rsidR="00A509EB" w:rsidRPr="00F23A30" w14:paraId="08CC8A14" w14:textId="77777777" w:rsidTr="00A509EB">
        <w:trPr>
          <w:cantSplit/>
          <w:trHeight w:val="1129"/>
        </w:trPr>
        <w:tc>
          <w:tcPr>
            <w:tcW w:w="376" w:type="pct"/>
            <w:vAlign w:val="center"/>
          </w:tcPr>
          <w:p w14:paraId="26E9E23A" w14:textId="77777777" w:rsidR="00A509EB" w:rsidRDefault="00A509EB" w:rsidP="00A55F6E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CIP</w:t>
            </w:r>
          </w:p>
        </w:tc>
        <w:tc>
          <w:tcPr>
            <w:tcW w:w="1155" w:type="pct"/>
          </w:tcPr>
          <w:p w14:paraId="75988549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CIP is a smart city platform that provides an integrated solution for data management and can be used by </w:t>
            </w:r>
            <w:r w:rsidRPr="00765F4B">
              <w:rPr>
                <w:sz w:val="18"/>
                <w:szCs w:val="18"/>
              </w:rPr>
              <w:t>companies, developers, journalists and residents</w:t>
            </w:r>
          </w:p>
        </w:tc>
        <w:tc>
          <w:tcPr>
            <w:tcW w:w="1156" w:type="pct"/>
          </w:tcPr>
          <w:p w14:paraId="773E46E4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 infrastructure in the form of cloud-based data storage and technical solutions for data sharing in the form of a download tool and standardized, open-source API</w:t>
            </w:r>
          </w:p>
        </w:tc>
        <w:tc>
          <w:tcPr>
            <w:tcW w:w="1156" w:type="pct"/>
          </w:tcPr>
          <w:p w14:paraId="2B327EF5" w14:textId="77777777" w:rsidR="00A509EB" w:rsidRPr="007A3BD6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Offered by a private company </w:t>
            </w:r>
            <w:proofErr w:type="spellStart"/>
            <w:r>
              <w:rPr>
                <w:sz w:val="18"/>
                <w:szCs w:val="18"/>
              </w:rPr>
              <w:t>Civity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A3BD6">
              <w:rPr>
                <w:sz w:val="18"/>
                <w:szCs w:val="18"/>
              </w:rPr>
              <w:t>that builds data platforms for governments</w:t>
            </w:r>
          </w:p>
        </w:tc>
        <w:tc>
          <w:tcPr>
            <w:tcW w:w="1157" w:type="pct"/>
          </w:tcPr>
          <w:p w14:paraId="4B3D46A8" w14:textId="77777777" w:rsidR="00A509EB" w:rsidRPr="00F23A30" w:rsidRDefault="00A509EB" w:rsidP="00A55F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For-profit; m</w:t>
            </w:r>
            <w:r w:rsidRPr="00156BB1">
              <w:rPr>
                <w:sz w:val="18"/>
                <w:szCs w:val="18"/>
              </w:rPr>
              <w:t>onthly subscription for data contributors based on products/service</w:t>
            </w:r>
            <w:r>
              <w:rPr>
                <w:sz w:val="18"/>
                <w:szCs w:val="18"/>
              </w:rPr>
              <w:t xml:space="preserve"> </w:t>
            </w:r>
            <w:r w:rsidRPr="00156BB1">
              <w:rPr>
                <w:sz w:val="18"/>
                <w:szCs w:val="18"/>
              </w:rPr>
              <w:t>configuration, prices for use of commercial data determined by data contributor</w:t>
            </w:r>
            <w:r>
              <w:rPr>
                <w:sz w:val="18"/>
                <w:szCs w:val="18"/>
              </w:rPr>
              <w:t>, use of open data is free</w:t>
            </w:r>
          </w:p>
        </w:tc>
      </w:tr>
    </w:tbl>
    <w:p w14:paraId="1F841976" w14:textId="44D539C9" w:rsidR="00A509EB" w:rsidRDefault="00A509EB"/>
    <w:p w14:paraId="4316BEDE" w14:textId="77777777" w:rsidR="00A509EB" w:rsidRDefault="00A509EB"/>
    <w:sectPr w:rsidR="00A509EB" w:rsidSect="00A509E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EB"/>
    <w:rsid w:val="00191207"/>
    <w:rsid w:val="00A5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A95D7"/>
  <w15:chartTrackingRefBased/>
  <w15:docId w15:val="{0D284DBE-17E3-F146-AD9D-33E2ED6A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EB"/>
    <w:pPr>
      <w:overflowPunct w:val="0"/>
      <w:autoSpaceDE w:val="0"/>
      <w:autoSpaceDN w:val="0"/>
      <w:adjustRightInd w:val="0"/>
      <w:spacing w:line="240" w:lineRule="atLeast"/>
      <w:ind w:firstLine="22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09EB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Susha</dc:creator>
  <cp:keywords/>
  <dc:description/>
  <cp:lastModifiedBy>Iryna Susha</cp:lastModifiedBy>
  <cp:revision>1</cp:revision>
  <dcterms:created xsi:type="dcterms:W3CDTF">2020-06-01T12:14:00Z</dcterms:created>
  <dcterms:modified xsi:type="dcterms:W3CDTF">2020-06-01T12:16:00Z</dcterms:modified>
</cp:coreProperties>
</file>