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F208" w14:textId="7B12DCC6" w:rsidR="007D7385" w:rsidRPr="0015737F" w:rsidRDefault="00F661A9" w:rsidP="00D365C5">
      <w:pPr>
        <w:pStyle w:val="Titel"/>
        <w:spacing w:line="276" w:lineRule="auto"/>
        <w:jc w:val="both"/>
        <w:rPr>
          <w:rFonts w:ascii="Tw Cen MT Condensed" w:hAnsi="Tw Cen MT Condensed"/>
          <w:sz w:val="72"/>
          <w:szCs w:val="72"/>
          <w:lang w:val="en-US"/>
        </w:rPr>
      </w:pPr>
      <w:r w:rsidRPr="00F661A9">
        <w:rPr>
          <w:rFonts w:ascii="Tw Cen MT Condensed" w:hAnsi="Tw Cen MT Condensed"/>
          <w:sz w:val="72"/>
          <w:szCs w:val="72"/>
          <w:lang w:val="en-US"/>
        </w:rPr>
        <w:t>FURTHER INFORMATION</w:t>
      </w:r>
    </w:p>
    <w:p w14:paraId="400CB3DD" w14:textId="0BFFA822" w:rsidR="00640299" w:rsidRPr="0015737F" w:rsidRDefault="00640299" w:rsidP="00D365C5">
      <w:pPr>
        <w:spacing w:line="276" w:lineRule="auto"/>
        <w:jc w:val="both"/>
        <w:rPr>
          <w:rFonts w:ascii="Tw Cen MT" w:hAnsi="Tw Cen MT"/>
        </w:rPr>
      </w:pPr>
    </w:p>
    <w:p w14:paraId="211D508F" w14:textId="1C99B769" w:rsidR="0951E43B" w:rsidRPr="0015737F" w:rsidRDefault="00367848" w:rsidP="0042389C">
      <w:pPr>
        <w:pStyle w:val="Style1"/>
        <w:jc w:val="both"/>
        <w:rPr>
          <w:sz w:val="32"/>
          <w:szCs w:val="32"/>
        </w:rPr>
      </w:pPr>
      <w:r w:rsidRPr="00367848">
        <w:rPr>
          <w:sz w:val="32"/>
          <w:szCs w:val="32"/>
        </w:rPr>
        <w:t>Courses, workshops, events</w:t>
      </w:r>
    </w:p>
    <w:p w14:paraId="40E2A496" w14:textId="1D22FB9F" w:rsidR="00367848" w:rsidRPr="00E458D6" w:rsidRDefault="00367848" w:rsidP="00367848">
      <w:pPr>
        <w:pStyle w:val="Geenafstand"/>
        <w:rPr>
          <w:b/>
          <w:bCs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B2B2B2" w:themeColor="accent4" w:themeTint="99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2127"/>
        <w:gridCol w:w="6933"/>
      </w:tblGrid>
      <w:tr w:rsidR="00367848" w14:paraId="6E52FF98" w14:textId="77777777" w:rsidTr="3F7956DB">
        <w:trPr>
          <w:trHeight w:val="454"/>
        </w:trPr>
        <w:tc>
          <w:tcPr>
            <w:tcW w:w="2127" w:type="dxa"/>
            <w:tcBorders>
              <w:top w:val="nil"/>
              <w:bottom w:val="single" w:sz="8" w:space="0" w:color="B2B2B2" w:themeColor="accent4" w:themeTint="99"/>
            </w:tcBorders>
            <w:vAlign w:val="center"/>
          </w:tcPr>
          <w:p w14:paraId="51D0E7A8" w14:textId="77777777" w:rsidR="00367848" w:rsidRDefault="00367848" w:rsidP="00F9239B">
            <w:pPr>
              <w:pStyle w:val="Geenafstand"/>
              <w:rPr>
                <w:rFonts w:eastAsia="Verdana" w:cs="Verdana"/>
                <w:b/>
                <w:bCs/>
                <w:i/>
                <w:iCs/>
                <w:sz w:val="20"/>
                <w:szCs w:val="20"/>
              </w:rPr>
            </w:pPr>
            <w:r w:rsidRPr="5F16FF5B">
              <w:rPr>
                <w:rFonts w:eastAsia="Verdana" w:cs="Verdana"/>
                <w:b/>
                <w:bCs/>
                <w:i/>
                <w:iCs/>
                <w:sz w:val="20"/>
                <w:szCs w:val="20"/>
              </w:rPr>
              <w:t>Date</w:t>
            </w:r>
          </w:p>
        </w:tc>
        <w:tc>
          <w:tcPr>
            <w:tcW w:w="6933" w:type="dxa"/>
            <w:tcBorders>
              <w:top w:val="nil"/>
              <w:bottom w:val="single" w:sz="8" w:space="0" w:color="B2B2B2" w:themeColor="accent4" w:themeTint="99"/>
            </w:tcBorders>
            <w:vAlign w:val="center"/>
          </w:tcPr>
          <w:p w14:paraId="5653F7B7" w14:textId="77777777" w:rsidR="00367848" w:rsidRDefault="00367848" w:rsidP="00F9239B">
            <w:pPr>
              <w:pStyle w:val="Geenafstand"/>
              <w:rPr>
                <w:rFonts w:eastAsia="Verdana" w:cs="Verdana"/>
                <w:b/>
                <w:bCs/>
                <w:i/>
                <w:iCs/>
                <w:sz w:val="20"/>
                <w:szCs w:val="20"/>
                <w:lang w:val="nl-NL"/>
              </w:rPr>
            </w:pPr>
            <w:r w:rsidRPr="5F16FF5B">
              <w:rPr>
                <w:rFonts w:eastAsia="Verdana" w:cs="Verdana"/>
                <w:b/>
                <w:bCs/>
                <w:i/>
                <w:iCs/>
                <w:sz w:val="20"/>
                <w:szCs w:val="20"/>
                <w:lang w:val="nl-NL"/>
              </w:rPr>
              <w:t>Topic</w:t>
            </w:r>
          </w:p>
        </w:tc>
      </w:tr>
      <w:tr w:rsidR="00367848" w14:paraId="7991FD68" w14:textId="77777777" w:rsidTr="3F7956DB">
        <w:trPr>
          <w:trHeight w:val="454"/>
        </w:trPr>
        <w:tc>
          <w:tcPr>
            <w:tcW w:w="2127" w:type="dxa"/>
            <w:tcBorders>
              <w:top w:val="single" w:sz="8" w:space="0" w:color="B2B2B2" w:themeColor="accent4" w:themeTint="99"/>
            </w:tcBorders>
            <w:vAlign w:val="center"/>
          </w:tcPr>
          <w:p w14:paraId="01245B71" w14:textId="77777777" w:rsidR="00367848" w:rsidRDefault="00367848" w:rsidP="00F9239B">
            <w:pPr>
              <w:pStyle w:val="Geenafstand"/>
              <w:rPr>
                <w:rFonts w:eastAsia="Verdana" w:cs="Verdana"/>
                <w:sz w:val="20"/>
                <w:szCs w:val="20"/>
              </w:rPr>
            </w:pPr>
            <w:r w:rsidRPr="5F16FF5B">
              <w:rPr>
                <w:rFonts w:eastAsia="Verdana" w:cs="Verdana"/>
                <w:sz w:val="20"/>
                <w:szCs w:val="20"/>
              </w:rPr>
              <w:t>Starting 26-10-2022</w:t>
            </w:r>
          </w:p>
        </w:tc>
        <w:tc>
          <w:tcPr>
            <w:tcW w:w="6933" w:type="dxa"/>
            <w:tcBorders>
              <w:top w:val="single" w:sz="8" w:space="0" w:color="B2B2B2" w:themeColor="accent4" w:themeTint="99"/>
            </w:tcBorders>
            <w:vAlign w:val="center"/>
          </w:tcPr>
          <w:p w14:paraId="6AD49CD8" w14:textId="77777777" w:rsidR="00367848" w:rsidRDefault="00DD6735" w:rsidP="00F9239B">
            <w:pPr>
              <w:pStyle w:val="Geenafstand"/>
              <w:rPr>
                <w:rFonts w:eastAsia="Verdana" w:cs="Verdana"/>
                <w:sz w:val="20"/>
                <w:szCs w:val="20"/>
                <w:lang w:val="nl-NL"/>
              </w:rPr>
            </w:pPr>
            <w:hyperlink r:id="rId11">
              <w:r w:rsidR="00367848" w:rsidRPr="5F16FF5B">
                <w:rPr>
                  <w:rStyle w:val="Hyperlink"/>
                  <w:rFonts w:eastAsia="Verdana" w:cs="Verdana"/>
                  <w:sz w:val="20"/>
                  <w:szCs w:val="20"/>
                  <w:lang w:val="nl-NL"/>
                </w:rPr>
                <w:t>Towards FAIR Data Management</w:t>
              </w:r>
            </w:hyperlink>
          </w:p>
        </w:tc>
      </w:tr>
      <w:tr w:rsidR="00367848" w14:paraId="38BCF02E" w14:textId="77777777" w:rsidTr="3F7956DB">
        <w:trPr>
          <w:trHeight w:val="454"/>
        </w:trPr>
        <w:tc>
          <w:tcPr>
            <w:tcW w:w="2127" w:type="dxa"/>
            <w:vAlign w:val="center"/>
          </w:tcPr>
          <w:p w14:paraId="70B37C95" w14:textId="77777777" w:rsidR="00367848" w:rsidRDefault="00367848" w:rsidP="00F9239B">
            <w:pPr>
              <w:pStyle w:val="Geenafstand"/>
              <w:rPr>
                <w:rFonts w:eastAsia="Verdana" w:cs="Verdana"/>
                <w:sz w:val="20"/>
                <w:szCs w:val="20"/>
              </w:rPr>
            </w:pPr>
            <w:r w:rsidRPr="5F16FF5B">
              <w:rPr>
                <w:rFonts w:eastAsia="Verdana" w:cs="Verdana"/>
                <w:sz w:val="20"/>
                <w:szCs w:val="20"/>
              </w:rPr>
              <w:t>Starting 17-11-2022</w:t>
            </w:r>
          </w:p>
        </w:tc>
        <w:tc>
          <w:tcPr>
            <w:tcW w:w="6933" w:type="dxa"/>
            <w:vAlign w:val="center"/>
          </w:tcPr>
          <w:p w14:paraId="30BF5F6F" w14:textId="77777777" w:rsidR="00367848" w:rsidRDefault="00DD6735" w:rsidP="00F9239B">
            <w:pPr>
              <w:pStyle w:val="Geenafstand"/>
              <w:rPr>
                <w:rFonts w:eastAsia="Verdana" w:cs="Verdana"/>
                <w:b/>
                <w:bCs/>
                <w:sz w:val="20"/>
                <w:szCs w:val="20"/>
                <w:lang w:val="nl-NL"/>
              </w:rPr>
            </w:pPr>
            <w:hyperlink r:id="rId12">
              <w:r w:rsidR="00367848" w:rsidRPr="5F16FF5B">
                <w:rPr>
                  <w:rStyle w:val="Hyperlink"/>
                  <w:rFonts w:eastAsia="Verdana" w:cs="Verdana"/>
                  <w:sz w:val="20"/>
                  <w:szCs w:val="20"/>
                </w:rPr>
                <w:t>Research Data Management (online training)</w:t>
              </w:r>
            </w:hyperlink>
          </w:p>
        </w:tc>
      </w:tr>
      <w:tr w:rsidR="00367848" w14:paraId="4D365EDE" w14:textId="77777777" w:rsidTr="3F7956DB">
        <w:trPr>
          <w:trHeight w:val="454"/>
        </w:trPr>
        <w:tc>
          <w:tcPr>
            <w:tcW w:w="2127" w:type="dxa"/>
            <w:vAlign w:val="center"/>
          </w:tcPr>
          <w:p w14:paraId="4356D9CC" w14:textId="77777777" w:rsidR="00367848" w:rsidRDefault="00367848" w:rsidP="00F9239B">
            <w:pPr>
              <w:pStyle w:val="Geenafstand"/>
              <w:rPr>
                <w:rFonts w:eastAsia="Verdana" w:cs="Verdana"/>
                <w:sz w:val="20"/>
                <w:szCs w:val="20"/>
              </w:rPr>
            </w:pPr>
            <w:r w:rsidRPr="5F16FF5B">
              <w:rPr>
                <w:rFonts w:eastAsia="Verdana" w:cs="Verdana"/>
                <w:sz w:val="20"/>
                <w:szCs w:val="20"/>
              </w:rPr>
              <w:t>Starting 31-10-2022</w:t>
            </w:r>
          </w:p>
        </w:tc>
        <w:tc>
          <w:tcPr>
            <w:tcW w:w="6933" w:type="dxa"/>
            <w:vAlign w:val="center"/>
          </w:tcPr>
          <w:p w14:paraId="75EE2CB7" w14:textId="77777777" w:rsidR="00367848" w:rsidRDefault="00DD6735" w:rsidP="00F9239B">
            <w:pPr>
              <w:pStyle w:val="Geenafstand"/>
              <w:rPr>
                <w:rFonts w:eastAsia="Verdana" w:cs="Verdana"/>
                <w:b/>
                <w:bCs/>
                <w:sz w:val="20"/>
                <w:szCs w:val="20"/>
                <w:lang w:val="nl-NL"/>
              </w:rPr>
            </w:pPr>
            <w:hyperlink r:id="rId13">
              <w:r w:rsidR="00367848" w:rsidRPr="5F16FF5B">
                <w:rPr>
                  <w:rStyle w:val="Hyperlink"/>
                  <w:rFonts w:eastAsia="Verdana" w:cs="Verdana"/>
                  <w:sz w:val="20"/>
                  <w:szCs w:val="20"/>
                </w:rPr>
                <w:t>RMarkdown</w:t>
              </w:r>
            </w:hyperlink>
          </w:p>
        </w:tc>
      </w:tr>
      <w:tr w:rsidR="00367848" w14:paraId="2635F475" w14:textId="77777777" w:rsidTr="3F7956DB">
        <w:trPr>
          <w:trHeight w:val="454"/>
        </w:trPr>
        <w:tc>
          <w:tcPr>
            <w:tcW w:w="2127" w:type="dxa"/>
            <w:vAlign w:val="center"/>
          </w:tcPr>
          <w:p w14:paraId="39E24430" w14:textId="77777777" w:rsidR="00367848" w:rsidRDefault="00367848" w:rsidP="00F9239B">
            <w:pPr>
              <w:pStyle w:val="Geenafstand"/>
              <w:rPr>
                <w:rFonts w:eastAsia="Verdana" w:cs="Verdana"/>
                <w:sz w:val="20"/>
                <w:szCs w:val="20"/>
              </w:rPr>
            </w:pPr>
            <w:r w:rsidRPr="5F16FF5B">
              <w:rPr>
                <w:rFonts w:eastAsia="Verdana" w:cs="Verdana"/>
                <w:sz w:val="20"/>
                <w:szCs w:val="20"/>
                <w:lang w:val="nl-NL"/>
              </w:rPr>
              <w:t>29-11-2022</w:t>
            </w:r>
          </w:p>
        </w:tc>
        <w:tc>
          <w:tcPr>
            <w:tcW w:w="6933" w:type="dxa"/>
            <w:vAlign w:val="center"/>
          </w:tcPr>
          <w:p w14:paraId="385EC19A" w14:textId="1A331478" w:rsidR="00367848" w:rsidRDefault="00DD6735" w:rsidP="00F9239B">
            <w:pPr>
              <w:pStyle w:val="Geenafstand"/>
              <w:rPr>
                <w:rFonts w:eastAsia="Verdana" w:cs="Verdana"/>
                <w:sz w:val="20"/>
                <w:szCs w:val="20"/>
              </w:rPr>
            </w:pPr>
            <w:hyperlink r:id="rId14">
              <w:r w:rsidR="00367848" w:rsidRPr="5F16FF5B">
                <w:rPr>
                  <w:rStyle w:val="Hyperlink"/>
                  <w:rFonts w:eastAsia="Verdana" w:cs="Verdana"/>
                  <w:sz w:val="20"/>
                  <w:szCs w:val="20"/>
                  <w:lang w:val="nl-NL"/>
                </w:rPr>
                <w:t>Fair Data Day</w:t>
              </w:r>
            </w:hyperlink>
          </w:p>
        </w:tc>
      </w:tr>
      <w:tr w:rsidR="00367848" w14:paraId="536F0820" w14:textId="77777777" w:rsidTr="3F7956DB">
        <w:trPr>
          <w:trHeight w:val="454"/>
        </w:trPr>
        <w:tc>
          <w:tcPr>
            <w:tcW w:w="2127" w:type="dxa"/>
            <w:tcBorders>
              <w:bottom w:val="dashed" w:sz="4" w:space="0" w:color="B2B2B2" w:themeColor="accent4" w:themeTint="99"/>
            </w:tcBorders>
            <w:vAlign w:val="center"/>
          </w:tcPr>
          <w:p w14:paraId="6F3227B4" w14:textId="77777777" w:rsidR="00367848" w:rsidRDefault="00367848" w:rsidP="00F9239B">
            <w:pPr>
              <w:pStyle w:val="Geenafstand"/>
              <w:rPr>
                <w:rFonts w:eastAsia="Verdana" w:cs="Verdana"/>
                <w:sz w:val="20"/>
                <w:szCs w:val="20"/>
              </w:rPr>
            </w:pPr>
            <w:r w:rsidRPr="5F16FF5B">
              <w:rPr>
                <w:rFonts w:eastAsia="Verdana" w:cs="Verdana"/>
                <w:sz w:val="20"/>
                <w:szCs w:val="20"/>
              </w:rPr>
              <w:t>Multiple dates</w:t>
            </w:r>
          </w:p>
        </w:tc>
        <w:tc>
          <w:tcPr>
            <w:tcW w:w="6933" w:type="dxa"/>
            <w:tcBorders>
              <w:bottom w:val="dashed" w:sz="4" w:space="0" w:color="B2B2B2" w:themeColor="accent4" w:themeTint="99"/>
            </w:tcBorders>
            <w:vAlign w:val="center"/>
          </w:tcPr>
          <w:p w14:paraId="722A14DB" w14:textId="476895FA" w:rsidR="00367848" w:rsidRDefault="00DD6735" w:rsidP="00F9239B">
            <w:pPr>
              <w:pStyle w:val="Geenafstand"/>
              <w:rPr>
                <w:rFonts w:eastAsia="Verdana" w:cs="Verdana"/>
                <w:sz w:val="20"/>
                <w:szCs w:val="20"/>
              </w:rPr>
            </w:pPr>
            <w:hyperlink r:id="rId15">
              <w:r w:rsidR="00367848" w:rsidRPr="5F16FF5B">
                <w:rPr>
                  <w:rStyle w:val="Hyperlink"/>
                  <w:rFonts w:eastAsia="Verdana" w:cs="Verdana"/>
                  <w:sz w:val="20"/>
                  <w:szCs w:val="20"/>
                </w:rPr>
                <w:t>Trainings/workshops</w:t>
              </w:r>
            </w:hyperlink>
            <w:r w:rsidR="00367848" w:rsidRPr="5F16FF5B">
              <w:rPr>
                <w:rFonts w:eastAsia="Verdana" w:cs="Verdana"/>
                <w:sz w:val="20"/>
                <w:szCs w:val="20"/>
              </w:rPr>
              <w:t xml:space="preserve">  </w:t>
            </w:r>
            <w:hyperlink r:id="rId16">
              <w:r w:rsidR="00367848" w:rsidRPr="5F16FF5B">
                <w:rPr>
                  <w:rStyle w:val="Hyperlink"/>
                  <w:rFonts w:eastAsia="Verdana" w:cs="Verdana"/>
                  <w:sz w:val="20"/>
                  <w:szCs w:val="20"/>
                </w:rPr>
                <w:t>free course materials</w:t>
              </w:r>
            </w:hyperlink>
            <w:r w:rsidR="00367848" w:rsidRPr="5F16FF5B">
              <w:rPr>
                <w:rFonts w:eastAsia="Verdana" w:cs="Verdana"/>
                <w:sz w:val="20"/>
                <w:szCs w:val="20"/>
              </w:rPr>
              <w:t xml:space="preserve"> </w:t>
            </w:r>
            <w:r w:rsidR="00D215ED">
              <w:rPr>
                <w:rFonts w:eastAsia="Verdana" w:cs="Verdana"/>
                <w:sz w:val="20"/>
                <w:szCs w:val="20"/>
              </w:rPr>
              <w:t xml:space="preserve">by the </w:t>
            </w:r>
            <w:r w:rsidR="00367848" w:rsidRPr="5F16FF5B">
              <w:rPr>
                <w:rFonts w:eastAsia="Verdana" w:cs="Verdana"/>
                <w:sz w:val="20"/>
                <w:szCs w:val="20"/>
              </w:rPr>
              <w:t>Netherlands eScience Center</w:t>
            </w:r>
          </w:p>
        </w:tc>
      </w:tr>
      <w:tr w:rsidR="00367848" w14:paraId="6A176565" w14:textId="77777777" w:rsidTr="3F7956DB">
        <w:trPr>
          <w:trHeight w:val="454"/>
        </w:trPr>
        <w:tc>
          <w:tcPr>
            <w:tcW w:w="2127" w:type="dxa"/>
            <w:tcBorders>
              <w:top w:val="dashed" w:sz="4" w:space="0" w:color="B2B2B2" w:themeColor="accent4" w:themeTint="99"/>
              <w:bottom w:val="dashed" w:sz="4" w:space="0" w:color="B2B2B2" w:themeColor="accent4" w:themeTint="99"/>
            </w:tcBorders>
            <w:vAlign w:val="center"/>
          </w:tcPr>
          <w:p w14:paraId="6597831F" w14:textId="77777777" w:rsidR="00367848" w:rsidRDefault="00367848" w:rsidP="00F9239B">
            <w:pPr>
              <w:pStyle w:val="Geenafstand"/>
              <w:rPr>
                <w:rFonts w:eastAsia="Verdana" w:cs="Verdana"/>
                <w:sz w:val="20"/>
                <w:szCs w:val="20"/>
              </w:rPr>
            </w:pPr>
            <w:r w:rsidRPr="5F16FF5B">
              <w:rPr>
                <w:rFonts w:eastAsia="Verdana" w:cs="Verdana"/>
                <w:sz w:val="20"/>
                <w:szCs w:val="20"/>
              </w:rPr>
              <w:t>Not scheduled yet</w:t>
            </w:r>
          </w:p>
        </w:tc>
        <w:tc>
          <w:tcPr>
            <w:tcW w:w="6933" w:type="dxa"/>
            <w:tcBorders>
              <w:top w:val="dashed" w:sz="4" w:space="0" w:color="B2B2B2" w:themeColor="accent4" w:themeTint="99"/>
              <w:bottom w:val="dashed" w:sz="4" w:space="0" w:color="B2B2B2" w:themeColor="accent4" w:themeTint="99"/>
            </w:tcBorders>
            <w:vAlign w:val="center"/>
          </w:tcPr>
          <w:p w14:paraId="008E31C1" w14:textId="77777777" w:rsidR="00367848" w:rsidRDefault="00DD6735" w:rsidP="00F9239B">
            <w:pPr>
              <w:pStyle w:val="Geenafstand"/>
              <w:rPr>
                <w:rFonts w:eastAsia="Verdana" w:cs="Verdana"/>
                <w:b/>
                <w:bCs/>
                <w:sz w:val="20"/>
                <w:szCs w:val="20"/>
                <w:lang w:val="nl-NL"/>
              </w:rPr>
            </w:pPr>
            <w:hyperlink r:id="rId17">
              <w:r w:rsidR="00367848" w:rsidRPr="5F16FF5B">
                <w:rPr>
                  <w:rStyle w:val="Hyperlink"/>
                  <w:rFonts w:eastAsia="Verdana" w:cs="Verdana"/>
                  <w:sz w:val="20"/>
                  <w:szCs w:val="20"/>
                </w:rPr>
                <w:t>Introduction to Git for scientific software development</w:t>
              </w:r>
            </w:hyperlink>
          </w:p>
        </w:tc>
      </w:tr>
      <w:tr w:rsidR="3F7956DB" w14:paraId="58C0DB1E" w14:textId="77777777" w:rsidTr="3F7956DB">
        <w:trPr>
          <w:trHeight w:val="454"/>
        </w:trPr>
        <w:tc>
          <w:tcPr>
            <w:tcW w:w="2127" w:type="dxa"/>
            <w:tcBorders>
              <w:top w:val="dashed" w:sz="4" w:space="0" w:color="B2B2B2" w:themeColor="accent4" w:themeTint="99"/>
              <w:bottom w:val="dashed" w:sz="4" w:space="0" w:color="B2B2B2" w:themeColor="accent4" w:themeTint="99"/>
            </w:tcBorders>
            <w:vAlign w:val="center"/>
          </w:tcPr>
          <w:p w14:paraId="65BB7CAB" w14:textId="0A6C0C30" w:rsidR="45D21F25" w:rsidRDefault="45D21F25" w:rsidP="3F7956DB">
            <w:pPr>
              <w:pStyle w:val="Geenafstand"/>
              <w:rPr>
                <w:rFonts w:eastAsia="Verdana" w:cs="Verdana"/>
                <w:sz w:val="20"/>
                <w:szCs w:val="20"/>
              </w:rPr>
            </w:pPr>
            <w:r w:rsidRPr="3F7956DB">
              <w:rPr>
                <w:rFonts w:eastAsia="Verdana" w:cs="Verdana"/>
                <w:sz w:val="20"/>
                <w:szCs w:val="20"/>
              </w:rPr>
              <w:t>Not scheduled yet</w:t>
            </w:r>
          </w:p>
        </w:tc>
        <w:tc>
          <w:tcPr>
            <w:tcW w:w="6933" w:type="dxa"/>
            <w:tcBorders>
              <w:top w:val="dashed" w:sz="4" w:space="0" w:color="B2B2B2" w:themeColor="accent4" w:themeTint="99"/>
              <w:bottom w:val="dashed" w:sz="4" w:space="0" w:color="B2B2B2" w:themeColor="accent4" w:themeTint="99"/>
            </w:tcBorders>
            <w:vAlign w:val="center"/>
          </w:tcPr>
          <w:p w14:paraId="513CBF5E" w14:textId="0373D0B7" w:rsidR="04770457" w:rsidRDefault="45D21F25" w:rsidP="3F7956DB">
            <w:pPr>
              <w:pStyle w:val="Geenafstand"/>
              <w:rPr>
                <w:rFonts w:eastAsia="Verdana" w:cs="Verdana"/>
                <w:sz w:val="20"/>
                <w:szCs w:val="20"/>
              </w:rPr>
            </w:pPr>
            <w:r w:rsidRPr="3F7956DB">
              <w:rPr>
                <w:rFonts w:eastAsia="Verdana" w:cs="Verdana"/>
                <w:sz w:val="20"/>
                <w:szCs w:val="20"/>
              </w:rPr>
              <w:t>Open Science</w:t>
            </w:r>
            <w:r w:rsidR="003E6020">
              <w:rPr>
                <w:rFonts w:eastAsia="Verdana" w:cs="Verdana"/>
                <w:sz w:val="20"/>
                <w:szCs w:val="20"/>
              </w:rPr>
              <w:t xml:space="preserve"> </w:t>
            </w:r>
            <w:r w:rsidR="003E6020" w:rsidRPr="3F7956DB">
              <w:rPr>
                <w:rFonts w:eastAsia="Verdana" w:cs="Verdana"/>
                <w:sz w:val="20"/>
                <w:szCs w:val="20"/>
              </w:rPr>
              <w:t>Course</w:t>
            </w:r>
            <w:r w:rsidRPr="3F7956DB">
              <w:rPr>
                <w:rFonts w:eastAsia="Verdana" w:cs="Verdana"/>
                <w:sz w:val="20"/>
                <w:szCs w:val="20"/>
              </w:rPr>
              <w:t xml:space="preserve">.  More info: </w:t>
            </w:r>
            <w:hyperlink r:id="rId18" w:history="1">
              <w:r w:rsidR="007C783C" w:rsidRPr="00CB63D0">
                <w:rPr>
                  <w:rStyle w:val="Hyperlink"/>
                  <w:rFonts w:eastAsia="Verdana" w:cs="Verdana"/>
                  <w:sz w:val="20"/>
                  <w:szCs w:val="20"/>
                </w:rPr>
                <w:t>solen.leclech@wur.nl</w:t>
              </w:r>
            </w:hyperlink>
            <w:r w:rsidR="007C783C">
              <w:rPr>
                <w:rFonts w:eastAsia="Verdana" w:cs="Verdana"/>
                <w:sz w:val="20"/>
                <w:szCs w:val="20"/>
              </w:rPr>
              <w:t xml:space="preserve"> </w:t>
            </w:r>
            <w:r w:rsidRPr="3F7956DB">
              <w:rPr>
                <w:rFonts w:eastAsia="Verdana" w:cs="Verdana"/>
                <w:sz w:val="20"/>
                <w:szCs w:val="20"/>
              </w:rPr>
              <w:t xml:space="preserve">  </w:t>
            </w:r>
          </w:p>
        </w:tc>
      </w:tr>
    </w:tbl>
    <w:p w14:paraId="16D91CAD" w14:textId="77777777" w:rsidR="0042389C" w:rsidRPr="0015737F" w:rsidRDefault="0042389C" w:rsidP="00D365C5">
      <w:pPr>
        <w:spacing w:line="276" w:lineRule="auto"/>
        <w:jc w:val="both"/>
        <w:rPr>
          <w:rFonts w:ascii="Tw Cen MT" w:hAnsi="Tw Cen MT"/>
        </w:rPr>
      </w:pPr>
    </w:p>
    <w:p w14:paraId="0CC20A34" w14:textId="1DE806EA" w:rsidR="0951E43B" w:rsidRPr="0015737F" w:rsidRDefault="00B83B12" w:rsidP="0042389C">
      <w:pPr>
        <w:pStyle w:val="Style1"/>
        <w:jc w:val="both"/>
        <w:rPr>
          <w:sz w:val="32"/>
          <w:szCs w:val="32"/>
        </w:rPr>
      </w:pPr>
      <w:r w:rsidRPr="00B83B12">
        <w:rPr>
          <w:sz w:val="32"/>
          <w:szCs w:val="32"/>
        </w:rPr>
        <w:t>Scientific papers and other articles</w:t>
      </w:r>
    </w:p>
    <w:p w14:paraId="11945FC0" w14:textId="7656CD35" w:rsidR="001F0DD7" w:rsidRPr="001F0DD7" w:rsidRDefault="001F0DD7" w:rsidP="004F782B">
      <w:pPr>
        <w:numPr>
          <w:ilvl w:val="0"/>
          <w:numId w:val="2"/>
        </w:numPr>
        <w:spacing w:line="276" w:lineRule="auto"/>
        <w:rPr>
          <w:rFonts w:ascii="Tw Cen MT" w:eastAsia="Calibri" w:hAnsi="Tw Cen MT" w:cs="Calibri"/>
          <w:i/>
          <w:iCs/>
          <w:lang w:val="nl-NL"/>
        </w:rPr>
      </w:pPr>
      <w:r w:rsidRPr="001F0DD7">
        <w:rPr>
          <w:rFonts w:ascii="Tw Cen MT" w:eastAsia="Calibri" w:hAnsi="Tw Cen MT" w:cs="Calibri"/>
          <w:lang w:val="en-GB"/>
        </w:rPr>
        <w:t>Wilkinson M.D.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Dumontier M.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Aalbersberg I.J.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Appleton G.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Axton M.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Baak A.</w:t>
      </w:r>
      <w:r w:rsidRPr="001F0DD7">
        <w:rPr>
          <w:rFonts w:ascii="Tw Cen MT" w:eastAsia="Calibri" w:hAnsi="Tw Cen MT" w:cs="Calibri"/>
          <w:i/>
          <w:iCs/>
          <w:lang w:val="en-GB"/>
        </w:rPr>
        <w:t>, et al.</w:t>
      </w:r>
      <w:r w:rsidRPr="001F0DD7">
        <w:rPr>
          <w:rFonts w:ascii="Tw Cen MT" w:eastAsia="Calibri" w:hAnsi="Tw Cen MT" w:cs="Calibri"/>
          <w:lang w:val="en-GB"/>
        </w:rPr>
        <w:t xml:space="preserve"> (2016). The FAIR Guiding Principles for scientific data management and stewardship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. </w:t>
      </w:r>
      <w:r w:rsidRPr="001F0DD7">
        <w:rPr>
          <w:rFonts w:ascii="Tw Cen MT" w:eastAsia="Calibri" w:hAnsi="Tw Cen MT" w:cs="Calibri"/>
          <w:lang w:val="en-GB"/>
        </w:rPr>
        <w:t>Scientific Data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3(1),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 </w:t>
      </w:r>
      <w:r w:rsidRPr="001F0DD7">
        <w:rPr>
          <w:rFonts w:ascii="Tw Cen MT" w:eastAsia="Calibri" w:hAnsi="Tw Cen MT" w:cs="Calibri"/>
          <w:lang w:val="en-GB"/>
        </w:rPr>
        <w:t>160018</w:t>
      </w:r>
      <w:r w:rsidRPr="001F0DD7">
        <w:rPr>
          <w:rFonts w:ascii="Tw Cen MT" w:eastAsia="Calibri" w:hAnsi="Tw Cen MT" w:cs="Calibri"/>
          <w:i/>
          <w:iCs/>
          <w:lang w:val="en-GB"/>
        </w:rPr>
        <w:t>–</w:t>
      </w:r>
      <w:r w:rsidRPr="001F0DD7">
        <w:rPr>
          <w:rFonts w:ascii="Tw Cen MT" w:eastAsia="Calibri" w:hAnsi="Tw Cen MT" w:cs="Calibri"/>
          <w:lang w:val="en-GB"/>
        </w:rPr>
        <w:t>160019</w:t>
      </w:r>
      <w:r w:rsidRPr="001F0DD7">
        <w:rPr>
          <w:rFonts w:ascii="Tw Cen MT" w:eastAsia="Calibri" w:hAnsi="Tw Cen MT" w:cs="Calibri"/>
          <w:i/>
          <w:iCs/>
          <w:lang w:val="en-GB"/>
        </w:rPr>
        <w:t>.</w:t>
      </w:r>
      <w:r w:rsidR="004F782B">
        <w:rPr>
          <w:rFonts w:ascii="Tw Cen MT" w:eastAsia="Calibri" w:hAnsi="Tw Cen MT" w:cs="Calibri"/>
          <w:i/>
          <w:iCs/>
          <w:lang w:val="en-GB"/>
        </w:rPr>
        <w:br/>
      </w:r>
      <w:hyperlink r:id="rId19" w:history="1">
        <w:r w:rsidRPr="001F0DD7">
          <w:rPr>
            <w:rStyle w:val="Hyperlink"/>
            <w:rFonts w:ascii="Tw Cen MT" w:eastAsia="Calibri" w:hAnsi="Tw Cen MT" w:cs="Calibri"/>
            <w:lang w:val="en-GB"/>
          </w:rPr>
          <w:t>https://doi.org/10.1038/sdata.2016.18</w:t>
        </w:r>
      </w:hyperlink>
    </w:p>
    <w:p w14:paraId="042A01B3" w14:textId="3BA123DC" w:rsidR="001F0DD7" w:rsidRPr="001F0DD7" w:rsidRDefault="001F0DD7" w:rsidP="004F782B">
      <w:pPr>
        <w:numPr>
          <w:ilvl w:val="0"/>
          <w:numId w:val="2"/>
        </w:numPr>
        <w:spacing w:line="276" w:lineRule="auto"/>
        <w:rPr>
          <w:rFonts w:ascii="Tw Cen MT" w:eastAsia="Calibri" w:hAnsi="Tw Cen MT" w:cs="Calibri"/>
          <w:i/>
          <w:iCs/>
          <w:lang w:val="nl-NL"/>
        </w:rPr>
      </w:pPr>
      <w:r w:rsidRPr="001F0DD7">
        <w:rPr>
          <w:rFonts w:ascii="Tw Cen MT" w:eastAsia="Calibri" w:hAnsi="Tw Cen MT" w:cs="Calibri"/>
          <w:lang w:val="en-GB"/>
        </w:rPr>
        <w:t>Wyborn L.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Hsu L.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Lehnert K.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 &amp; </w:t>
      </w:r>
      <w:r w:rsidRPr="001F0DD7">
        <w:rPr>
          <w:rFonts w:ascii="Tw Cen MT" w:eastAsia="Calibri" w:hAnsi="Tw Cen MT" w:cs="Calibri"/>
          <w:lang w:val="en-GB"/>
        </w:rPr>
        <w:t>Parsons M.A.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 </w:t>
      </w:r>
      <w:r w:rsidRPr="001F0DD7">
        <w:rPr>
          <w:rFonts w:ascii="Tw Cen MT" w:eastAsia="Calibri" w:hAnsi="Tw Cen MT" w:cs="Calibri"/>
          <w:lang w:val="en-GB"/>
        </w:rPr>
        <w:t>(2015).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 </w:t>
      </w:r>
      <w:r w:rsidRPr="001F0DD7">
        <w:rPr>
          <w:rFonts w:ascii="Tw Cen MT" w:eastAsia="Calibri" w:hAnsi="Tw Cen MT" w:cs="Calibri"/>
          <w:lang w:val="en-GB"/>
        </w:rPr>
        <w:t>Guest Editorial: Special issue Rescuing Legacy data for Future Science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. </w:t>
      </w:r>
      <w:r w:rsidRPr="001F0DD7">
        <w:rPr>
          <w:rFonts w:ascii="Tw Cen MT" w:eastAsia="Calibri" w:hAnsi="Tw Cen MT" w:cs="Calibri"/>
          <w:lang w:val="en-GB"/>
        </w:rPr>
        <w:t>GeoResJ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6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106</w:t>
      </w:r>
      <w:r w:rsidRPr="001F0DD7">
        <w:rPr>
          <w:rFonts w:ascii="Tw Cen MT" w:eastAsia="Calibri" w:hAnsi="Tw Cen MT" w:cs="Calibri"/>
          <w:i/>
          <w:iCs/>
          <w:lang w:val="en-GB"/>
        </w:rPr>
        <w:t>–</w:t>
      </w:r>
      <w:r w:rsidRPr="001F0DD7">
        <w:rPr>
          <w:rFonts w:ascii="Tw Cen MT" w:eastAsia="Calibri" w:hAnsi="Tw Cen MT" w:cs="Calibri"/>
          <w:lang w:val="en-GB"/>
        </w:rPr>
        <w:t>107</w:t>
      </w:r>
      <w:r w:rsidRPr="001F0DD7">
        <w:rPr>
          <w:rFonts w:ascii="Tw Cen MT" w:eastAsia="Calibri" w:hAnsi="Tw Cen MT" w:cs="Calibri"/>
          <w:i/>
          <w:iCs/>
          <w:lang w:val="en-GB"/>
        </w:rPr>
        <w:t>.</w:t>
      </w:r>
      <w:r w:rsidR="004F782B">
        <w:rPr>
          <w:rFonts w:ascii="Tw Cen MT" w:eastAsia="Calibri" w:hAnsi="Tw Cen MT" w:cs="Calibri"/>
          <w:i/>
          <w:iCs/>
          <w:lang w:val="en-GB"/>
        </w:rPr>
        <w:br/>
      </w:r>
      <w:hyperlink r:id="rId20" w:history="1">
        <w:r w:rsidR="004F782B" w:rsidRPr="001F0DD7">
          <w:rPr>
            <w:rStyle w:val="Hyperlink"/>
            <w:rFonts w:ascii="Tw Cen MT" w:eastAsia="Calibri" w:hAnsi="Tw Cen MT" w:cs="Calibri"/>
            <w:lang w:val="en-GB"/>
          </w:rPr>
          <w:t>https://doi.org/10.1016/j.grj.2015.02.017</w:t>
        </w:r>
      </w:hyperlink>
    </w:p>
    <w:p w14:paraId="5A8FE54D" w14:textId="77777777" w:rsidR="001F0DD7" w:rsidRPr="001F0DD7" w:rsidRDefault="001F0DD7" w:rsidP="004F782B">
      <w:pPr>
        <w:numPr>
          <w:ilvl w:val="0"/>
          <w:numId w:val="2"/>
        </w:numPr>
        <w:spacing w:line="276" w:lineRule="auto"/>
        <w:rPr>
          <w:rFonts w:ascii="Tw Cen MT" w:eastAsia="Calibri" w:hAnsi="Tw Cen MT" w:cs="Calibri"/>
          <w:i/>
          <w:iCs/>
          <w:lang w:val="nl-NL"/>
        </w:rPr>
      </w:pPr>
      <w:r w:rsidRPr="001F0DD7">
        <w:rPr>
          <w:rFonts w:ascii="Tw Cen MT" w:eastAsia="Calibri" w:hAnsi="Tw Cen MT" w:cs="Calibri"/>
          <w:lang w:val="en-GB"/>
        </w:rPr>
        <w:t>Griffin, R.E.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 </w:t>
      </w:r>
      <w:r w:rsidRPr="001F0DD7">
        <w:rPr>
          <w:rFonts w:ascii="Tw Cen MT" w:eastAsia="Calibri" w:hAnsi="Tw Cen MT" w:cs="Calibri"/>
          <w:lang w:val="en-GB"/>
        </w:rPr>
        <w:t>(2015)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 </w:t>
      </w:r>
      <w:r w:rsidRPr="001F0DD7">
        <w:rPr>
          <w:rFonts w:ascii="Tw Cen MT" w:eastAsia="Calibri" w:hAnsi="Tw Cen MT" w:cs="Calibri"/>
          <w:lang w:val="en-GB"/>
        </w:rPr>
        <w:t>When are Old Data New Data?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 </w:t>
      </w:r>
      <w:r w:rsidRPr="001F0DD7">
        <w:rPr>
          <w:rFonts w:ascii="Tw Cen MT" w:eastAsia="Calibri" w:hAnsi="Tw Cen MT" w:cs="Calibri"/>
          <w:lang w:val="en-GB"/>
        </w:rPr>
        <w:t>GeoResJ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6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92</w:t>
      </w:r>
      <w:r w:rsidRPr="001F0DD7">
        <w:rPr>
          <w:rFonts w:ascii="Tw Cen MT" w:eastAsia="Calibri" w:hAnsi="Tw Cen MT" w:cs="Calibri"/>
          <w:i/>
          <w:iCs/>
          <w:lang w:val="en-GB"/>
        </w:rPr>
        <w:t>–</w:t>
      </w:r>
      <w:r w:rsidRPr="001F0DD7">
        <w:rPr>
          <w:rFonts w:ascii="Tw Cen MT" w:eastAsia="Calibri" w:hAnsi="Tw Cen MT" w:cs="Calibri"/>
          <w:lang w:val="en-GB"/>
        </w:rPr>
        <w:t>97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. </w:t>
      </w:r>
      <w:hyperlink r:id="rId21" w:history="1">
        <w:r w:rsidRPr="001F0DD7">
          <w:rPr>
            <w:rStyle w:val="Hyperlink"/>
            <w:rFonts w:ascii="Tw Cen MT" w:eastAsia="Calibri" w:hAnsi="Tw Cen MT" w:cs="Calibri"/>
            <w:lang w:val="en-GB"/>
          </w:rPr>
          <w:t>https://doi.org/10.1016/j.grj.2015.02.004</w:t>
        </w:r>
      </w:hyperlink>
    </w:p>
    <w:p w14:paraId="5D5C9A6E" w14:textId="77777777" w:rsidR="001F0DD7" w:rsidRPr="001F0DD7" w:rsidRDefault="001F0DD7" w:rsidP="004F782B">
      <w:pPr>
        <w:numPr>
          <w:ilvl w:val="0"/>
          <w:numId w:val="2"/>
        </w:numPr>
        <w:spacing w:line="276" w:lineRule="auto"/>
        <w:rPr>
          <w:rFonts w:ascii="Tw Cen MT" w:eastAsia="Calibri" w:hAnsi="Tw Cen MT" w:cs="Calibri"/>
          <w:lang w:val="nl-NL"/>
        </w:rPr>
      </w:pPr>
      <w:r w:rsidRPr="001F0DD7">
        <w:rPr>
          <w:rFonts w:ascii="Tw Cen MT" w:eastAsia="Calibri" w:hAnsi="Tw Cen MT" w:cs="Calibri"/>
          <w:lang w:val="en-GB"/>
        </w:rPr>
        <w:t>Gil Y.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David C.H.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Demir I.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Essawy B.T.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Fulweiler R.W.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Goodall J.L.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et al. </w:t>
      </w:r>
      <w:r w:rsidRPr="001F0DD7">
        <w:rPr>
          <w:rFonts w:ascii="Tw Cen MT" w:eastAsia="Calibri" w:hAnsi="Tw Cen MT" w:cs="Calibri"/>
          <w:lang w:val="en-GB"/>
        </w:rPr>
        <w:t>(2016) Toward the Geoscience Paper of the Future: Best practices for documenting and sharing research from data to software to provenance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. </w:t>
      </w:r>
      <w:r w:rsidRPr="001F0DD7">
        <w:rPr>
          <w:rFonts w:ascii="Tw Cen MT" w:eastAsia="Calibri" w:hAnsi="Tw Cen MT" w:cs="Calibri"/>
          <w:lang w:val="en-GB"/>
        </w:rPr>
        <w:t>Earth and Space Science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3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, </w:t>
      </w:r>
      <w:r w:rsidRPr="001F0DD7">
        <w:rPr>
          <w:rFonts w:ascii="Tw Cen MT" w:eastAsia="Calibri" w:hAnsi="Tw Cen MT" w:cs="Calibri"/>
          <w:lang w:val="en-GB"/>
        </w:rPr>
        <w:t>388</w:t>
      </w:r>
      <w:r w:rsidRPr="001F0DD7">
        <w:rPr>
          <w:rFonts w:ascii="Tw Cen MT" w:eastAsia="Calibri" w:hAnsi="Tw Cen MT" w:cs="Calibri"/>
          <w:i/>
          <w:iCs/>
          <w:lang w:val="en-GB"/>
        </w:rPr>
        <w:t>–</w:t>
      </w:r>
      <w:r w:rsidRPr="001F0DD7">
        <w:rPr>
          <w:rFonts w:ascii="Tw Cen MT" w:eastAsia="Calibri" w:hAnsi="Tw Cen MT" w:cs="Calibri"/>
          <w:lang w:val="en-GB"/>
        </w:rPr>
        <w:t>415</w:t>
      </w:r>
      <w:r w:rsidRPr="001F0DD7">
        <w:rPr>
          <w:rFonts w:ascii="Tw Cen MT" w:eastAsia="Calibri" w:hAnsi="Tw Cen MT" w:cs="Calibri"/>
          <w:i/>
          <w:iCs/>
          <w:lang w:val="en-GB"/>
        </w:rPr>
        <w:t xml:space="preserve">. </w:t>
      </w:r>
      <w:hyperlink r:id="rId22">
        <w:r w:rsidRPr="001F0DD7">
          <w:rPr>
            <w:rStyle w:val="Hyperlink"/>
            <w:rFonts w:ascii="Tw Cen MT" w:eastAsia="Calibri" w:hAnsi="Tw Cen MT" w:cs="Calibri"/>
            <w:lang w:val="en-GB"/>
          </w:rPr>
          <w:t>https://doi.org/10.1002/2015EA000136</w:t>
        </w:r>
      </w:hyperlink>
    </w:p>
    <w:p w14:paraId="449D5789" w14:textId="77777777" w:rsidR="001F0DD7" w:rsidRPr="001F0DD7" w:rsidRDefault="001F0DD7" w:rsidP="004F782B">
      <w:pPr>
        <w:numPr>
          <w:ilvl w:val="0"/>
          <w:numId w:val="2"/>
        </w:numPr>
        <w:spacing w:line="276" w:lineRule="auto"/>
        <w:rPr>
          <w:rFonts w:ascii="Tw Cen MT" w:eastAsia="Calibri" w:hAnsi="Tw Cen MT" w:cs="Calibri"/>
          <w:lang w:val="nl-NL"/>
        </w:rPr>
      </w:pPr>
      <w:r w:rsidRPr="001F0DD7">
        <w:rPr>
          <w:rFonts w:ascii="Tw Cen MT" w:eastAsia="Calibri" w:hAnsi="Tw Cen MT" w:cs="Calibri"/>
          <w:lang w:val="nl-NL"/>
        </w:rPr>
        <w:t>Teytelman L (2018). No more excuses for non-reproducible methods. Nature, 560, 411.</w:t>
      </w:r>
      <w:r w:rsidRPr="001F0DD7">
        <w:rPr>
          <w:rFonts w:ascii="Tw Cen MT" w:eastAsia="Calibri" w:hAnsi="Tw Cen MT" w:cs="Calibri"/>
          <w:lang w:val="en-GB"/>
        </w:rPr>
        <w:br/>
      </w:r>
      <w:hyperlink r:id="rId23">
        <w:r w:rsidRPr="001F0DD7">
          <w:rPr>
            <w:rStyle w:val="Hyperlink"/>
            <w:rFonts w:ascii="Tw Cen MT" w:eastAsia="Calibri" w:hAnsi="Tw Cen MT" w:cs="Calibri"/>
            <w:lang w:val="nl-NL"/>
          </w:rPr>
          <w:t>https://doi.org/10.1038/d41586-018-06008-w</w:t>
        </w:r>
      </w:hyperlink>
      <w:r w:rsidRPr="001F0DD7">
        <w:rPr>
          <w:rFonts w:ascii="Tw Cen MT" w:eastAsia="Calibri" w:hAnsi="Tw Cen MT" w:cs="Calibri"/>
          <w:lang w:val="nl-NL"/>
        </w:rPr>
        <w:t xml:space="preserve"> </w:t>
      </w:r>
    </w:p>
    <w:p w14:paraId="6333F9FC" w14:textId="77777777" w:rsidR="001F0DD7" w:rsidRPr="001F0DD7" w:rsidRDefault="001F0DD7" w:rsidP="004F782B">
      <w:pPr>
        <w:numPr>
          <w:ilvl w:val="0"/>
          <w:numId w:val="2"/>
        </w:numPr>
        <w:spacing w:line="276" w:lineRule="auto"/>
        <w:rPr>
          <w:rFonts w:ascii="Tw Cen MT" w:eastAsia="Calibri" w:hAnsi="Tw Cen MT" w:cs="Calibri"/>
          <w:lang w:val="nl-NL"/>
        </w:rPr>
      </w:pPr>
      <w:r w:rsidRPr="001F0DD7">
        <w:rPr>
          <w:rFonts w:ascii="Tw Cen MT" w:eastAsia="Calibri" w:hAnsi="Tw Cen MT" w:cs="Calibri"/>
          <w:lang w:val="nl-NL"/>
        </w:rPr>
        <w:t xml:space="preserve">Stall S., </w:t>
      </w:r>
      <w:r w:rsidRPr="001F0DD7">
        <w:rPr>
          <w:rFonts w:ascii="Tw Cen MT" w:eastAsia="Calibri" w:hAnsi="Tw Cen MT" w:cs="Calibri"/>
          <w:lang w:val="en-GB"/>
        </w:rPr>
        <w:t>Yarmey L., Cutcher-Gershenfeld J., Hanson B., Lehnert K., Nosek B., Parsons M., Robinson E., Wyborn</w:t>
      </w:r>
      <w:r w:rsidRPr="001F0DD7">
        <w:rPr>
          <w:rFonts w:ascii="Tw Cen MT" w:eastAsia="Calibri" w:hAnsi="Tw Cen MT" w:cs="Calibri"/>
          <w:lang w:val="nl-NL"/>
        </w:rPr>
        <w:t xml:space="preserve"> L. (2019). Make scientific data FAIR. Nature, 570, 27</w:t>
      </w:r>
      <w:r w:rsidRPr="001F0DD7">
        <w:rPr>
          <w:rFonts w:ascii="Tw Cen MT" w:eastAsia="Calibri" w:hAnsi="Tw Cen MT" w:cs="Calibri"/>
          <w:i/>
          <w:iCs/>
          <w:lang w:val="en-GB"/>
        </w:rPr>
        <w:t>–</w:t>
      </w:r>
      <w:r w:rsidRPr="001F0DD7">
        <w:rPr>
          <w:rFonts w:ascii="Tw Cen MT" w:eastAsia="Calibri" w:hAnsi="Tw Cen MT" w:cs="Calibri"/>
          <w:lang w:val="nl-NL"/>
        </w:rPr>
        <w:t>29.</w:t>
      </w:r>
      <w:r w:rsidRPr="001F0DD7">
        <w:rPr>
          <w:rFonts w:ascii="Tw Cen MT" w:eastAsia="Calibri" w:hAnsi="Tw Cen MT" w:cs="Calibri"/>
          <w:lang w:val="en-GB"/>
        </w:rPr>
        <w:br/>
      </w:r>
      <w:hyperlink r:id="rId24">
        <w:r w:rsidRPr="001F0DD7">
          <w:rPr>
            <w:rStyle w:val="Hyperlink"/>
            <w:rFonts w:ascii="Tw Cen MT" w:eastAsia="Calibri" w:hAnsi="Tw Cen MT" w:cs="Calibri"/>
            <w:lang w:val="nl-NL"/>
          </w:rPr>
          <w:t>https://doi.org/10.1038/d41586-019-01720-7</w:t>
        </w:r>
      </w:hyperlink>
    </w:p>
    <w:p w14:paraId="5C0A22DE" w14:textId="77777777" w:rsidR="001F0DD7" w:rsidRPr="001F0DD7" w:rsidRDefault="001F0DD7" w:rsidP="004F782B">
      <w:pPr>
        <w:numPr>
          <w:ilvl w:val="0"/>
          <w:numId w:val="2"/>
        </w:numPr>
        <w:spacing w:line="276" w:lineRule="auto"/>
        <w:rPr>
          <w:rFonts w:ascii="Tw Cen MT" w:eastAsia="Calibri" w:hAnsi="Tw Cen MT" w:cs="Calibri"/>
          <w:lang w:val="nl-NL"/>
        </w:rPr>
      </w:pPr>
      <w:r w:rsidRPr="001F0DD7">
        <w:rPr>
          <w:rFonts w:ascii="Tw Cen MT" w:eastAsia="Calibri" w:hAnsi="Tw Cen MT" w:cs="Calibri"/>
          <w:lang w:val="nl-NL"/>
        </w:rPr>
        <w:lastRenderedPageBreak/>
        <w:t>Kallet R.H. (2004). How to write the methods section of a research paper. Respiratory Care, 49(10), 1229-1232.</w:t>
      </w:r>
    </w:p>
    <w:p w14:paraId="35495FE1" w14:textId="5D93FDAE" w:rsidR="63C976EF" w:rsidRDefault="63C976EF" w:rsidP="3F7956DB">
      <w:pPr>
        <w:numPr>
          <w:ilvl w:val="0"/>
          <w:numId w:val="2"/>
        </w:numPr>
        <w:spacing w:line="276" w:lineRule="auto"/>
        <w:rPr>
          <w:rFonts w:ascii="Tw Cen MT" w:eastAsia="Calibri" w:hAnsi="Tw Cen MT" w:cs="Calibri"/>
          <w:lang w:val="nl-NL"/>
        </w:rPr>
      </w:pPr>
      <w:r w:rsidRPr="3F7956DB">
        <w:rPr>
          <w:rFonts w:ascii="Tw Cen MT" w:eastAsia="Calibri" w:hAnsi="Tw Cen MT" w:cs="Calibri"/>
          <w:lang w:val="nl-NL"/>
        </w:rPr>
        <w:t xml:space="preserve">Hunter-Zinck, H., de Siqueira, A. F., Vásquez, V. N., Barnes, R., &amp; Martinez, C. C. (2021). Ten simple rules on writing clean and reliable open-source scientific software. PLOS Computational Biology, 1-9. </w:t>
      </w:r>
      <w:hyperlink r:id="rId25" w:history="1">
        <w:r w:rsidR="006D2592" w:rsidRPr="007E4882">
          <w:rPr>
            <w:rStyle w:val="Hyperlink"/>
            <w:rFonts w:ascii="Tw Cen MT" w:eastAsia="Calibri" w:hAnsi="Tw Cen MT" w:cs="Calibri"/>
            <w:lang w:val="nl-NL"/>
          </w:rPr>
          <w:t>https://doi.org/10.1371/journal.pcbi.1009481</w:t>
        </w:r>
      </w:hyperlink>
      <w:r w:rsidR="006D2592">
        <w:rPr>
          <w:rFonts w:ascii="Tw Cen MT" w:eastAsia="Calibri" w:hAnsi="Tw Cen MT" w:cs="Calibri"/>
          <w:lang w:val="nl-NL"/>
        </w:rPr>
        <w:t xml:space="preserve"> </w:t>
      </w:r>
    </w:p>
    <w:p w14:paraId="3E9DB25D" w14:textId="2908BBDA" w:rsidR="63C976EF" w:rsidRDefault="63C976EF" w:rsidP="3F7956DB">
      <w:pPr>
        <w:numPr>
          <w:ilvl w:val="0"/>
          <w:numId w:val="2"/>
        </w:numPr>
        <w:spacing w:line="276" w:lineRule="auto"/>
        <w:rPr>
          <w:rFonts w:ascii="Tw Cen MT" w:eastAsia="Calibri" w:hAnsi="Tw Cen MT" w:cs="Calibri"/>
          <w:lang w:val="nl-NL"/>
        </w:rPr>
      </w:pPr>
      <w:r w:rsidRPr="3F7956DB">
        <w:rPr>
          <w:rFonts w:ascii="Tw Cen MT" w:eastAsia="Calibri" w:hAnsi="Tw Cen MT" w:cs="Calibri"/>
          <w:lang w:val="nl-NL"/>
        </w:rPr>
        <w:t xml:space="preserve">Hasselbring, W., Carr, L., Hettrick, S., Packer, H., &amp; Tiropanis, T. (2020). From FAIR research data toward FAIR and open research software. Information Technology, 39-47. </w:t>
      </w:r>
      <w:hyperlink r:id="rId26" w:history="1">
        <w:r w:rsidR="00D150E7" w:rsidRPr="007E4882">
          <w:rPr>
            <w:rStyle w:val="Hyperlink"/>
            <w:rFonts w:ascii="Tw Cen MT" w:eastAsia="Calibri" w:hAnsi="Tw Cen MT" w:cs="Calibri"/>
            <w:lang w:val="nl-NL"/>
          </w:rPr>
          <w:t>https://doi.org/10.1515/itit-2019-0040</w:t>
        </w:r>
      </w:hyperlink>
      <w:r w:rsidR="00D150E7">
        <w:rPr>
          <w:rFonts w:ascii="Tw Cen MT" w:eastAsia="Calibri" w:hAnsi="Tw Cen MT" w:cs="Calibri"/>
          <w:lang w:val="nl-NL"/>
        </w:rPr>
        <w:t xml:space="preserve"> </w:t>
      </w:r>
    </w:p>
    <w:p w14:paraId="690EB4A7" w14:textId="0571F0B6" w:rsidR="63C976EF" w:rsidRDefault="63C976EF" w:rsidP="3F7956DB">
      <w:pPr>
        <w:numPr>
          <w:ilvl w:val="0"/>
          <w:numId w:val="2"/>
        </w:numPr>
        <w:spacing w:line="276" w:lineRule="auto"/>
        <w:rPr>
          <w:rFonts w:ascii="Tw Cen MT" w:eastAsia="Calibri" w:hAnsi="Tw Cen MT" w:cs="Calibri"/>
          <w:lang w:val="nl-NL"/>
        </w:rPr>
      </w:pPr>
      <w:r w:rsidRPr="3F7956DB">
        <w:rPr>
          <w:rFonts w:ascii="Tw Cen MT" w:eastAsia="Calibri" w:hAnsi="Tw Cen MT" w:cs="Calibri"/>
          <w:lang w:val="nl-NL"/>
        </w:rPr>
        <w:t xml:space="preserve">Lamprecht, A.-L., Garcia, L., Kuzak, M., Martinez, C., Arcila, R., Martin Del Pico, E., Harrow, J. (2020). Towards FAIR principles for research software. Data Science, 37-59. </w:t>
      </w:r>
      <w:hyperlink r:id="rId27" w:history="1">
        <w:r w:rsidR="00223CAE" w:rsidRPr="007E4882">
          <w:rPr>
            <w:rStyle w:val="Hyperlink"/>
            <w:rFonts w:ascii="Tw Cen MT" w:eastAsia="Calibri" w:hAnsi="Tw Cen MT" w:cs="Calibri"/>
            <w:lang w:val="nl-NL"/>
          </w:rPr>
          <w:t>https://doi.org/10.3233/DS-190026</w:t>
        </w:r>
      </w:hyperlink>
      <w:r w:rsidR="00223CAE">
        <w:rPr>
          <w:rFonts w:ascii="Tw Cen MT" w:eastAsia="Calibri" w:hAnsi="Tw Cen MT" w:cs="Calibri"/>
          <w:lang w:val="nl-NL"/>
        </w:rPr>
        <w:t xml:space="preserve"> </w:t>
      </w:r>
    </w:p>
    <w:p w14:paraId="171F9CBB" w14:textId="65F4BBE2" w:rsidR="3F7956DB" w:rsidRDefault="3F7956DB" w:rsidP="3F7956DB">
      <w:pPr>
        <w:spacing w:line="276" w:lineRule="auto"/>
        <w:rPr>
          <w:rFonts w:ascii="Tw Cen MT" w:eastAsia="Calibri" w:hAnsi="Tw Cen MT" w:cs="Calibri"/>
          <w:lang w:val="nl-NL"/>
        </w:rPr>
      </w:pPr>
    </w:p>
    <w:p w14:paraId="1BB9D5FF" w14:textId="30145AF8" w:rsidR="00040AFE" w:rsidRPr="0015737F" w:rsidRDefault="00040AFE" w:rsidP="00040AFE">
      <w:pPr>
        <w:pStyle w:val="Style1"/>
        <w:jc w:val="both"/>
        <w:rPr>
          <w:sz w:val="32"/>
          <w:szCs w:val="32"/>
        </w:rPr>
      </w:pPr>
      <w:r w:rsidRPr="00040AFE">
        <w:rPr>
          <w:sz w:val="32"/>
          <w:szCs w:val="32"/>
        </w:rPr>
        <w:t>Creative Commons Licences</w:t>
      </w:r>
    </w:p>
    <w:p w14:paraId="7A907DD7" w14:textId="77777777" w:rsidR="00040AFE" w:rsidRPr="001C4998" w:rsidRDefault="00DD6735" w:rsidP="00040AFE">
      <w:pPr>
        <w:spacing w:line="276" w:lineRule="auto"/>
        <w:jc w:val="both"/>
        <w:rPr>
          <w:rFonts w:ascii="Tw Cen MT" w:eastAsia="Calibri" w:hAnsi="Tw Cen MT" w:cs="Calibri"/>
          <w:sz w:val="20"/>
          <w:szCs w:val="20"/>
          <w:lang w:val="en-GB"/>
        </w:rPr>
      </w:pPr>
      <w:hyperlink r:id="rId28">
        <w:r w:rsidR="00040AFE" w:rsidRPr="001C4998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About CC Licences</w:t>
        </w:r>
      </w:hyperlink>
    </w:p>
    <w:p w14:paraId="37675747" w14:textId="143894B9" w:rsidR="00040AFE" w:rsidRDefault="00DD6735" w:rsidP="00040AFE">
      <w:pPr>
        <w:spacing w:line="276" w:lineRule="auto"/>
        <w:jc w:val="both"/>
        <w:rPr>
          <w:rFonts w:ascii="Tw Cen MT" w:eastAsia="Calibri" w:hAnsi="Tw Cen MT" w:cs="Calibri"/>
          <w:sz w:val="20"/>
          <w:szCs w:val="20"/>
        </w:rPr>
      </w:pPr>
      <w:hyperlink r:id="rId29">
        <w:r w:rsidR="00040AFE" w:rsidRPr="001C4998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Creative Commons License Chooser</w:t>
        </w:r>
      </w:hyperlink>
    </w:p>
    <w:p w14:paraId="67752707" w14:textId="77777777" w:rsidR="007C783C" w:rsidRDefault="007C783C" w:rsidP="00D365C5">
      <w:pPr>
        <w:spacing w:line="276" w:lineRule="auto"/>
        <w:jc w:val="both"/>
        <w:rPr>
          <w:rFonts w:ascii="Tw Cen MT" w:eastAsia="Calibri" w:hAnsi="Tw Cen MT" w:cs="Calibri"/>
          <w:sz w:val="20"/>
          <w:szCs w:val="20"/>
        </w:rPr>
      </w:pPr>
    </w:p>
    <w:p w14:paraId="66028522" w14:textId="47657AF8" w:rsidR="00642CE4" w:rsidRPr="0015737F" w:rsidRDefault="007701D4" w:rsidP="00642CE4">
      <w:pPr>
        <w:pStyle w:val="Style1"/>
        <w:jc w:val="both"/>
        <w:rPr>
          <w:sz w:val="32"/>
          <w:szCs w:val="32"/>
        </w:rPr>
      </w:pPr>
      <w:r>
        <w:rPr>
          <w:sz w:val="32"/>
          <w:szCs w:val="32"/>
        </w:rPr>
        <w:t>File format standards in Geo-information science</w:t>
      </w:r>
    </w:p>
    <w:p w14:paraId="33881957" w14:textId="0C088BF8" w:rsidR="001C4998" w:rsidRDefault="007B622A" w:rsidP="001C4998">
      <w:pPr>
        <w:spacing w:line="276" w:lineRule="auto"/>
        <w:jc w:val="both"/>
        <w:rPr>
          <w:rStyle w:val="Hyperlink"/>
          <w:rFonts w:ascii="Tw Cen MT" w:eastAsia="Calibri" w:hAnsi="Tw Cen MT" w:cs="Calibri"/>
          <w:sz w:val="20"/>
          <w:szCs w:val="20"/>
          <w:lang w:val="en-GB"/>
        </w:rPr>
      </w:pPr>
      <w:hyperlink r:id="rId30" w:history="1">
        <w:r w:rsidRPr="007B622A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European standard coordinate reference system ETRS89</w:t>
        </w:r>
      </w:hyperlink>
    </w:p>
    <w:p w14:paraId="202B91EE" w14:textId="48698DAB" w:rsidR="00D2109D" w:rsidRPr="007D0276" w:rsidRDefault="00837B50" w:rsidP="001C4998">
      <w:pPr>
        <w:spacing w:line="276" w:lineRule="auto"/>
        <w:jc w:val="both"/>
        <w:rPr>
          <w:rStyle w:val="Hyperlink"/>
        </w:rPr>
      </w:pPr>
      <w:hyperlink r:id="rId31" w:history="1">
        <w:r w:rsidR="005F424F" w:rsidRPr="00837B50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Geonovum</w:t>
        </w:r>
        <w:r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 xml:space="preserve"> meta standaarden</w:t>
        </w:r>
        <w:r w:rsidRPr="00837B50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 xml:space="preserve"> (in Dutch)</w:t>
        </w:r>
      </w:hyperlink>
      <w:r w:rsidR="00D2109D">
        <w:rPr>
          <w:rStyle w:val="Hyperlink"/>
          <w:rFonts w:ascii="Tw Cen MT" w:eastAsia="Calibri" w:hAnsi="Tw Cen MT" w:cs="Calibri"/>
          <w:sz w:val="20"/>
          <w:szCs w:val="20"/>
          <w:lang w:val="en-GB"/>
        </w:rPr>
        <w:t xml:space="preserve"> </w:t>
      </w:r>
    </w:p>
    <w:p w14:paraId="3E8CA06E" w14:textId="77777777" w:rsidR="00D2109D" w:rsidRDefault="00D2109D" w:rsidP="00A9752D">
      <w:pPr>
        <w:pStyle w:val="Style1"/>
        <w:jc w:val="both"/>
        <w:rPr>
          <w:sz w:val="32"/>
          <w:szCs w:val="32"/>
        </w:rPr>
      </w:pPr>
    </w:p>
    <w:p w14:paraId="67FFB921" w14:textId="093E854D" w:rsidR="00A9752D" w:rsidRPr="0015737F" w:rsidRDefault="00A9752D" w:rsidP="00A9752D">
      <w:pPr>
        <w:pStyle w:val="Style1"/>
        <w:jc w:val="both"/>
        <w:rPr>
          <w:sz w:val="32"/>
          <w:szCs w:val="32"/>
        </w:rPr>
      </w:pPr>
      <w:r>
        <w:rPr>
          <w:sz w:val="32"/>
          <w:szCs w:val="32"/>
        </w:rPr>
        <w:t>IMAGERY FOR REUS</w:t>
      </w:r>
      <w:r w:rsidR="00040AFE">
        <w:rPr>
          <w:sz w:val="32"/>
          <w:szCs w:val="32"/>
        </w:rPr>
        <w:t>E</w:t>
      </w:r>
    </w:p>
    <w:p w14:paraId="61D3CF53" w14:textId="67C0294D" w:rsidR="00642CE4" w:rsidRPr="00B75A0E" w:rsidRDefault="00924E91" w:rsidP="00040AFE">
      <w:pPr>
        <w:spacing w:line="276" w:lineRule="auto"/>
        <w:jc w:val="both"/>
        <w:rPr>
          <w:rStyle w:val="Hyperlink"/>
          <w:rFonts w:ascii="Tw Cen MT" w:eastAsia="Calibri" w:hAnsi="Tw Cen MT" w:cs="Calibri"/>
          <w:sz w:val="20"/>
          <w:szCs w:val="20"/>
          <w:lang w:val="en-GB"/>
        </w:rPr>
      </w:pPr>
      <w:hyperlink r:id="rId32" w:history="1">
        <w:r w:rsidRPr="00B75A0E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 xml:space="preserve">Brandportal </w:t>
        </w:r>
        <w:r w:rsidR="00B75A0E" w:rsidRPr="00B75A0E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 xml:space="preserve">(only for </w:t>
        </w:r>
        <w:r w:rsidRPr="00B75A0E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WUR</w:t>
        </w:r>
      </w:hyperlink>
      <w:r w:rsidR="00B75A0E" w:rsidRPr="00B75A0E">
        <w:rPr>
          <w:rStyle w:val="Hyperlink"/>
          <w:rFonts w:ascii="Tw Cen MT" w:eastAsia="Calibri" w:hAnsi="Tw Cen MT" w:cs="Calibri"/>
          <w:sz w:val="20"/>
          <w:szCs w:val="20"/>
          <w:lang w:val="en-GB"/>
        </w:rPr>
        <w:t>)</w:t>
      </w:r>
    </w:p>
    <w:p w14:paraId="6098C998" w14:textId="5AD2BE1A" w:rsidR="00203895" w:rsidRPr="00203895" w:rsidRDefault="00DD6735" w:rsidP="00040AFE">
      <w:pPr>
        <w:spacing w:line="276" w:lineRule="auto"/>
        <w:jc w:val="both"/>
        <w:rPr>
          <w:rFonts w:ascii="Tw Cen MT" w:eastAsia="Calibri" w:hAnsi="Tw Cen MT" w:cs="Calibri"/>
          <w:sz w:val="20"/>
          <w:szCs w:val="20"/>
          <w:lang w:val="en-GB"/>
        </w:rPr>
      </w:pPr>
      <w:hyperlink r:id="rId33" w:history="1">
        <w:r w:rsidR="00203895" w:rsidRPr="00B75A0E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OpenVerse</w:t>
        </w:r>
      </w:hyperlink>
    </w:p>
    <w:p w14:paraId="0F4D1DF5" w14:textId="607ABCC2" w:rsidR="00A9752D" w:rsidRDefault="00DD6735" w:rsidP="00203895">
      <w:pPr>
        <w:spacing w:line="276" w:lineRule="auto"/>
        <w:jc w:val="both"/>
        <w:rPr>
          <w:rStyle w:val="Hyperlink"/>
          <w:rFonts w:ascii="Tw Cen MT" w:eastAsia="Calibri" w:hAnsi="Tw Cen MT" w:cs="Calibri"/>
          <w:sz w:val="20"/>
          <w:szCs w:val="20"/>
          <w:lang w:val="en-GB"/>
        </w:rPr>
      </w:pPr>
      <w:hyperlink r:id="rId34" w:history="1">
        <w:r w:rsidR="00203895" w:rsidRPr="00203895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Wikimedia Commons</w:t>
        </w:r>
      </w:hyperlink>
    </w:p>
    <w:p w14:paraId="28BD81B1" w14:textId="3BB78058" w:rsidR="00C21315" w:rsidRDefault="00C21315" w:rsidP="00203895">
      <w:pPr>
        <w:spacing w:line="276" w:lineRule="auto"/>
        <w:jc w:val="both"/>
        <w:rPr>
          <w:rFonts w:ascii="Tw Cen MT" w:eastAsia="Calibri" w:hAnsi="Tw Cen MT" w:cs="Calibri"/>
          <w:b/>
          <w:bCs/>
          <w:sz w:val="20"/>
          <w:szCs w:val="20"/>
        </w:rPr>
      </w:pPr>
    </w:p>
    <w:p w14:paraId="082553C9" w14:textId="77777777" w:rsidR="00642CE4" w:rsidRPr="0015737F" w:rsidRDefault="00642CE4" w:rsidP="00642CE4">
      <w:pPr>
        <w:pStyle w:val="Style1"/>
        <w:jc w:val="both"/>
        <w:rPr>
          <w:sz w:val="32"/>
          <w:szCs w:val="32"/>
        </w:rPr>
      </w:pPr>
      <w:r>
        <w:rPr>
          <w:sz w:val="32"/>
          <w:szCs w:val="32"/>
        </w:rPr>
        <w:t>Background on open science</w:t>
      </w:r>
    </w:p>
    <w:p w14:paraId="1B0BFB4C" w14:textId="77777777" w:rsidR="00642CE4" w:rsidRPr="001C4998" w:rsidRDefault="00DD6735" w:rsidP="00642CE4">
      <w:pPr>
        <w:spacing w:line="276" w:lineRule="auto"/>
        <w:jc w:val="both"/>
        <w:rPr>
          <w:rFonts w:ascii="Tw Cen MT" w:eastAsia="Calibri" w:hAnsi="Tw Cen MT" w:cs="Calibri"/>
          <w:sz w:val="20"/>
          <w:szCs w:val="20"/>
          <w:lang w:val="en-GB"/>
        </w:rPr>
      </w:pPr>
      <w:hyperlink r:id="rId35" w:history="1">
        <w:r w:rsidR="00642CE4" w:rsidRPr="001C4998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UNESCO Recommendation on Open Science</w:t>
        </w:r>
      </w:hyperlink>
    </w:p>
    <w:p w14:paraId="35B44BB5" w14:textId="77777777" w:rsidR="00642CE4" w:rsidRPr="001C4998" w:rsidRDefault="00DD6735" w:rsidP="00642CE4">
      <w:pPr>
        <w:spacing w:line="276" w:lineRule="auto"/>
        <w:jc w:val="both"/>
        <w:rPr>
          <w:rFonts w:ascii="Tw Cen MT" w:eastAsia="Calibri" w:hAnsi="Tw Cen MT" w:cs="Calibri"/>
          <w:sz w:val="20"/>
          <w:szCs w:val="20"/>
          <w:lang w:val="en-GB"/>
        </w:rPr>
      </w:pPr>
      <w:hyperlink r:id="rId36" w:history="1">
        <w:r w:rsidR="00642CE4" w:rsidRPr="001C4998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COPDESS</w:t>
        </w:r>
        <w:r w:rsidR="00642CE4" w:rsidRPr="00040AFE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 xml:space="preserve"> </w:t>
        </w:r>
        <w:r w:rsidR="00642CE4" w:rsidRPr="001C4998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Commitment Statement in the Earth, Space, and Environmental Sciences</w:t>
        </w:r>
      </w:hyperlink>
    </w:p>
    <w:p w14:paraId="60C921F7" w14:textId="77777777" w:rsidR="00642CE4" w:rsidRPr="001C4998" w:rsidRDefault="00DD6735" w:rsidP="00642CE4">
      <w:pPr>
        <w:spacing w:line="276" w:lineRule="auto"/>
        <w:jc w:val="both"/>
        <w:rPr>
          <w:rFonts w:ascii="Tw Cen MT" w:eastAsia="Calibri" w:hAnsi="Tw Cen MT" w:cs="Calibri"/>
          <w:sz w:val="20"/>
          <w:szCs w:val="20"/>
          <w:lang w:val="en-GB"/>
        </w:rPr>
      </w:pPr>
      <w:hyperlink r:id="rId37" w:history="1">
        <w:r w:rsidR="00642CE4" w:rsidRPr="001C4998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National Programme Open Science</w:t>
        </w:r>
      </w:hyperlink>
    </w:p>
    <w:p w14:paraId="7B22FBDD" w14:textId="1F28D7F3" w:rsidR="00642CE4" w:rsidRPr="00C21315" w:rsidRDefault="00DD6735" w:rsidP="00642CE4">
      <w:pPr>
        <w:spacing w:line="276" w:lineRule="auto"/>
        <w:jc w:val="both"/>
        <w:rPr>
          <w:rFonts w:ascii="Tw Cen MT" w:eastAsia="Calibri" w:hAnsi="Tw Cen MT" w:cs="Calibri"/>
          <w:b/>
          <w:bCs/>
          <w:sz w:val="20"/>
          <w:szCs w:val="20"/>
        </w:rPr>
      </w:pPr>
      <w:hyperlink r:id="rId38">
        <w:r w:rsidR="00642CE4" w:rsidRPr="001C4998">
          <w:rPr>
            <w:rStyle w:val="Hyperlink"/>
            <w:rFonts w:ascii="Tw Cen MT" w:eastAsia="Calibri" w:hAnsi="Tw Cen MT" w:cs="Calibri"/>
            <w:sz w:val="20"/>
            <w:szCs w:val="20"/>
            <w:lang w:val="en-GB"/>
          </w:rPr>
          <w:t>Netherlands eScience Center</w:t>
        </w:r>
      </w:hyperlink>
    </w:p>
    <w:sectPr w:rsidR="00642CE4" w:rsidRPr="00C21315">
      <w:headerReference w:type="default" r:id="rId39"/>
      <w:footerReference w:type="default" r:id="rId4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80E6B" w14:textId="77777777" w:rsidR="00DD6735" w:rsidRDefault="00DD6735" w:rsidP="0015737F">
      <w:pPr>
        <w:spacing w:after="0" w:line="240" w:lineRule="auto"/>
      </w:pPr>
      <w:r>
        <w:separator/>
      </w:r>
    </w:p>
  </w:endnote>
  <w:endnote w:type="continuationSeparator" w:id="0">
    <w:p w14:paraId="6778903B" w14:textId="77777777" w:rsidR="00DD6735" w:rsidRDefault="00DD6735" w:rsidP="0015737F">
      <w:pPr>
        <w:spacing w:after="0" w:line="240" w:lineRule="auto"/>
      </w:pPr>
      <w:r>
        <w:continuationSeparator/>
      </w:r>
    </w:p>
  </w:endnote>
  <w:endnote w:type="continuationNotice" w:id="1">
    <w:p w14:paraId="5EB5785F" w14:textId="77777777" w:rsidR="00DD6735" w:rsidRDefault="00DD67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870441"/>
      <w:docPartObj>
        <w:docPartGallery w:val="Page Numbers (Bottom of Page)"/>
        <w:docPartUnique/>
      </w:docPartObj>
    </w:sdtPr>
    <w:sdtEndPr/>
    <w:sdtContent>
      <w:p w14:paraId="493CD5E2" w14:textId="66C480C6" w:rsidR="004A0940" w:rsidRDefault="004A094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  <w:r w:rsidR="00CD778E">
          <w:t>/</w:t>
        </w:r>
        <w:r w:rsidR="00A23368">
          <w:t>2</w:t>
        </w:r>
      </w:p>
    </w:sdtContent>
  </w:sdt>
  <w:p w14:paraId="4C05CFE3" w14:textId="77777777" w:rsidR="004A0940" w:rsidRPr="00047090" w:rsidRDefault="004A0940" w:rsidP="004A0940">
    <w:pPr>
      <w:spacing w:line="276" w:lineRule="auto"/>
      <w:jc w:val="both"/>
      <w:rPr>
        <w:rFonts w:ascii="Tw Cen MT" w:hAnsi="Tw Cen MT"/>
        <w:sz w:val="18"/>
        <w:szCs w:val="18"/>
      </w:rPr>
    </w:pPr>
    <w:r w:rsidRPr="00047090">
      <w:rPr>
        <w:rFonts w:ascii="Tw Cen MT" w:hAnsi="Tw Cen MT"/>
        <w:sz w:val="18"/>
        <w:szCs w:val="18"/>
      </w:rPr>
      <w:t>________________________________________________________________________________________________________</w:t>
    </w:r>
  </w:p>
  <w:p w14:paraId="1F15640E" w14:textId="77777777" w:rsidR="00A23368" w:rsidRPr="00047090" w:rsidRDefault="00A23368" w:rsidP="0015737F">
    <w:pPr>
      <w:pStyle w:val="Geenafstand"/>
      <w:rPr>
        <w:rFonts w:ascii="Tw Cen MT" w:hAnsi="Tw Cen MT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D713E" w14:textId="77777777" w:rsidR="00DD6735" w:rsidRDefault="00DD6735" w:rsidP="0015737F">
      <w:pPr>
        <w:spacing w:after="0" w:line="240" w:lineRule="auto"/>
      </w:pPr>
      <w:r>
        <w:separator/>
      </w:r>
    </w:p>
  </w:footnote>
  <w:footnote w:type="continuationSeparator" w:id="0">
    <w:p w14:paraId="0DE0C23F" w14:textId="77777777" w:rsidR="00DD6735" w:rsidRDefault="00DD6735" w:rsidP="0015737F">
      <w:pPr>
        <w:spacing w:after="0" w:line="240" w:lineRule="auto"/>
      </w:pPr>
      <w:r>
        <w:continuationSeparator/>
      </w:r>
    </w:p>
  </w:footnote>
  <w:footnote w:type="continuationNotice" w:id="1">
    <w:p w14:paraId="509FEB65" w14:textId="77777777" w:rsidR="00DD6735" w:rsidRDefault="00DD67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D45F" w14:textId="23EF4504" w:rsidR="008E028A" w:rsidRPr="008E028A" w:rsidRDefault="00F41B91" w:rsidP="008E028A">
    <w:pPr>
      <w:pStyle w:val="Koptekst"/>
      <w:jc w:val="both"/>
      <w:rPr>
        <w:rFonts w:ascii="Tw Cen MT" w:hAnsi="Tw Cen MT"/>
        <w:u w:val="single"/>
      </w:rPr>
    </w:pPr>
    <w:r w:rsidRPr="003E2520">
      <w:rPr>
        <w:rFonts w:ascii="Tw Cen MT Condensed" w:hAnsi="Tw Cen MT Condensed"/>
        <w:u w:val="single"/>
      </w:rPr>
      <w:t xml:space="preserve">WORKSHOP </w:t>
    </w:r>
    <w:r w:rsidRPr="003E2520">
      <w:rPr>
        <w:rFonts w:ascii="Tw Cen MT Condensed" w:hAnsi="Tw Cen MT Condensed"/>
        <w:b/>
        <w:bCs/>
        <w:u w:val="single"/>
      </w:rPr>
      <w:t>FAIR DATA AND DATA REUSE FOR ESG RESEARCHERS</w:t>
    </w:r>
    <w:r w:rsidR="00A23368">
      <w:rPr>
        <w:rFonts w:ascii="Tw Cen MT" w:hAnsi="Tw Cen MT"/>
        <w:u w:val="single"/>
      </w:rPr>
      <w:t>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B0AE2"/>
    <w:multiLevelType w:val="hybridMultilevel"/>
    <w:tmpl w:val="526A36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85676"/>
    <w:multiLevelType w:val="hybridMultilevel"/>
    <w:tmpl w:val="4A528A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D00E5B"/>
    <w:multiLevelType w:val="hybridMultilevel"/>
    <w:tmpl w:val="DB12E794"/>
    <w:lvl w:ilvl="0" w:tplc="4412D0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B4EC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FDECC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8CA7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1509D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DA09A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D5AFE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5A18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A667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2D79F4"/>
    <w:multiLevelType w:val="hybridMultilevel"/>
    <w:tmpl w:val="0D0621A4"/>
    <w:lvl w:ilvl="0" w:tplc="EC26F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46B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0E35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864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529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B6B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7AE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2899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168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AFCB1DD"/>
    <w:rsid w:val="00027F67"/>
    <w:rsid w:val="00040AFE"/>
    <w:rsid w:val="00047090"/>
    <w:rsid w:val="00066B53"/>
    <w:rsid w:val="00073776"/>
    <w:rsid w:val="00132300"/>
    <w:rsid w:val="00145475"/>
    <w:rsid w:val="0015737F"/>
    <w:rsid w:val="001C4998"/>
    <w:rsid w:val="001F0DD7"/>
    <w:rsid w:val="00203895"/>
    <w:rsid w:val="0021677A"/>
    <w:rsid w:val="00217591"/>
    <w:rsid w:val="00223CAE"/>
    <w:rsid w:val="00263FD8"/>
    <w:rsid w:val="002F1CAD"/>
    <w:rsid w:val="00313485"/>
    <w:rsid w:val="00360B20"/>
    <w:rsid w:val="00367848"/>
    <w:rsid w:val="003755A4"/>
    <w:rsid w:val="0038517B"/>
    <w:rsid w:val="003D6B69"/>
    <w:rsid w:val="003E2520"/>
    <w:rsid w:val="003E6020"/>
    <w:rsid w:val="0042389C"/>
    <w:rsid w:val="004A0940"/>
    <w:rsid w:val="004F45B5"/>
    <w:rsid w:val="004F70A7"/>
    <w:rsid w:val="004F782B"/>
    <w:rsid w:val="0054554F"/>
    <w:rsid w:val="005B2C13"/>
    <w:rsid w:val="005C255A"/>
    <w:rsid w:val="005C6C72"/>
    <w:rsid w:val="005F424F"/>
    <w:rsid w:val="006266FC"/>
    <w:rsid w:val="00640299"/>
    <w:rsid w:val="00642CE4"/>
    <w:rsid w:val="0068323C"/>
    <w:rsid w:val="006D2592"/>
    <w:rsid w:val="007701D4"/>
    <w:rsid w:val="007A1485"/>
    <w:rsid w:val="007B5DE4"/>
    <w:rsid w:val="007B622A"/>
    <w:rsid w:val="007C783C"/>
    <w:rsid w:val="007D0276"/>
    <w:rsid w:val="007D15B4"/>
    <w:rsid w:val="007D48E2"/>
    <w:rsid w:val="007D7385"/>
    <w:rsid w:val="008379B6"/>
    <w:rsid w:val="00837B50"/>
    <w:rsid w:val="008E028A"/>
    <w:rsid w:val="00924E91"/>
    <w:rsid w:val="009957C4"/>
    <w:rsid w:val="00A23368"/>
    <w:rsid w:val="00A66D14"/>
    <w:rsid w:val="00A9752D"/>
    <w:rsid w:val="00AC6297"/>
    <w:rsid w:val="00AE30C6"/>
    <w:rsid w:val="00B010BA"/>
    <w:rsid w:val="00B51390"/>
    <w:rsid w:val="00B75A0E"/>
    <w:rsid w:val="00B767B6"/>
    <w:rsid w:val="00B83B12"/>
    <w:rsid w:val="00BA62EE"/>
    <w:rsid w:val="00BA7A3F"/>
    <w:rsid w:val="00BC317A"/>
    <w:rsid w:val="00C21315"/>
    <w:rsid w:val="00C37985"/>
    <w:rsid w:val="00C47C54"/>
    <w:rsid w:val="00C6755C"/>
    <w:rsid w:val="00CB0A3E"/>
    <w:rsid w:val="00CC0AFE"/>
    <w:rsid w:val="00CC114F"/>
    <w:rsid w:val="00CD778E"/>
    <w:rsid w:val="00CE5A88"/>
    <w:rsid w:val="00CF1E47"/>
    <w:rsid w:val="00D150E7"/>
    <w:rsid w:val="00D2109D"/>
    <w:rsid w:val="00D215ED"/>
    <w:rsid w:val="00D365C5"/>
    <w:rsid w:val="00D8574B"/>
    <w:rsid w:val="00DB60D0"/>
    <w:rsid w:val="00DD6735"/>
    <w:rsid w:val="00E11335"/>
    <w:rsid w:val="00E44417"/>
    <w:rsid w:val="00E52E13"/>
    <w:rsid w:val="00E8582D"/>
    <w:rsid w:val="00EF7538"/>
    <w:rsid w:val="00F41B91"/>
    <w:rsid w:val="00F64C43"/>
    <w:rsid w:val="00F661A9"/>
    <w:rsid w:val="00F868EC"/>
    <w:rsid w:val="00FC0CD3"/>
    <w:rsid w:val="04770457"/>
    <w:rsid w:val="056A4885"/>
    <w:rsid w:val="0951E43B"/>
    <w:rsid w:val="0CB89300"/>
    <w:rsid w:val="0E546361"/>
    <w:rsid w:val="0FF033C2"/>
    <w:rsid w:val="1B3AD3EF"/>
    <w:rsid w:val="1E7274B1"/>
    <w:rsid w:val="200E4512"/>
    <w:rsid w:val="20BDDE60"/>
    <w:rsid w:val="20E0F222"/>
    <w:rsid w:val="2DD42F26"/>
    <w:rsid w:val="329AD3D3"/>
    <w:rsid w:val="351DED2B"/>
    <w:rsid w:val="3A8CBD5B"/>
    <w:rsid w:val="3F7956DB"/>
    <w:rsid w:val="40102972"/>
    <w:rsid w:val="45D21F25"/>
    <w:rsid w:val="5AFCB1DD"/>
    <w:rsid w:val="5D361639"/>
    <w:rsid w:val="5FA91D94"/>
    <w:rsid w:val="63C976EF"/>
    <w:rsid w:val="6A15E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FEE3450"/>
  <w15:chartTrackingRefBased/>
  <w15:docId w15:val="{22E03314-FD11-4046-962E-C24957FD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Pr>
      <w:color w:val="5F5F5F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7D15B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  <w:lang w:val="en-GB"/>
    </w:rPr>
  </w:style>
  <w:style w:type="character" w:customStyle="1" w:styleId="TitelChar">
    <w:name w:val="Titel Char"/>
    <w:basedOn w:val="Standaardalinea-lettertype"/>
    <w:link w:val="Titel"/>
    <w:uiPriority w:val="10"/>
    <w:rsid w:val="007D15B4"/>
    <w:rPr>
      <w:rFonts w:asciiTheme="majorHAnsi" w:eastAsiaTheme="majorEastAsia" w:hAnsiTheme="majorHAnsi" w:cstheme="majorBidi"/>
      <w:caps/>
      <w:spacing w:val="40"/>
      <w:sz w:val="76"/>
      <w:szCs w:val="76"/>
      <w:lang w:val="en-GB"/>
    </w:rPr>
  </w:style>
  <w:style w:type="paragraph" w:customStyle="1" w:styleId="Style1">
    <w:name w:val="Style1"/>
    <w:basedOn w:val="Kop1"/>
    <w:link w:val="Style1Char"/>
    <w:qFormat/>
    <w:rsid w:val="00640299"/>
    <w:pPr>
      <w:pBdr>
        <w:left w:val="single" w:sz="12" w:space="12" w:color="B2B2B2" w:themeColor="accent2"/>
      </w:pBdr>
      <w:spacing w:before="80" w:after="80" w:line="276" w:lineRule="auto"/>
    </w:pPr>
    <w:rPr>
      <w:rFonts w:ascii="Tw Cen MT Condensed" w:hAnsi="Tw Cen MT Condensed"/>
      <w:caps/>
      <w:color w:val="auto"/>
      <w:spacing w:val="10"/>
      <w:sz w:val="36"/>
      <w:szCs w:val="36"/>
      <w:lang w:val="en-GB"/>
    </w:rPr>
  </w:style>
  <w:style w:type="table" w:styleId="Tabelraster">
    <w:name w:val="Table Grid"/>
    <w:basedOn w:val="Standaardtabel"/>
    <w:uiPriority w:val="59"/>
    <w:rsid w:val="00CC1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Char">
    <w:name w:val="Style1 Char"/>
    <w:basedOn w:val="Kop1Char"/>
    <w:link w:val="Style1"/>
    <w:rsid w:val="00640299"/>
    <w:rPr>
      <w:rFonts w:ascii="Tw Cen MT Condensed" w:eastAsiaTheme="majorEastAsia" w:hAnsi="Tw Cen MT Condensed" w:cstheme="majorBidi"/>
      <w:caps/>
      <w:color w:val="A5A5A5" w:themeColor="accent1" w:themeShade="BF"/>
      <w:spacing w:val="10"/>
      <w:sz w:val="36"/>
      <w:szCs w:val="36"/>
      <w:lang w:val="en-GB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7A3F"/>
    <w:rPr>
      <w:color w:val="919191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737F"/>
  </w:style>
  <w:style w:type="paragraph" w:styleId="Voettekst">
    <w:name w:val="footer"/>
    <w:basedOn w:val="Standaard"/>
    <w:link w:val="VoettekstChar"/>
    <w:uiPriority w:val="99"/>
    <w:unhideWhenUsed/>
    <w:rsid w:val="001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737F"/>
  </w:style>
  <w:style w:type="paragraph" w:styleId="Geenafstand">
    <w:name w:val="No Spacing"/>
    <w:uiPriority w:val="1"/>
    <w:qFormat/>
    <w:rsid w:val="0015737F"/>
    <w:pPr>
      <w:spacing w:after="0" w:line="240" w:lineRule="auto"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1F0DD7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66D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66D14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66D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66D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66D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gs.crs.wur.nl/courses/details/469" TargetMode="External"/><Relationship Id="rId18" Type="http://schemas.openxmlformats.org/officeDocument/2006/relationships/hyperlink" Target="mailto:solen.leclech@wur.nl" TargetMode="External"/><Relationship Id="rId26" Type="http://schemas.openxmlformats.org/officeDocument/2006/relationships/hyperlink" Target="https://doi.org/10.1515/itit-2019-0040" TargetMode="External"/><Relationship Id="rId39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16/j.grj.2015.02.004" TargetMode="External"/><Relationship Id="rId34" Type="http://schemas.openxmlformats.org/officeDocument/2006/relationships/hyperlink" Target="https://commons.wikimedia.org/wiki/Main_Page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gs.crs.wur.nl/courses/details/84" TargetMode="External"/><Relationship Id="rId17" Type="http://schemas.openxmlformats.org/officeDocument/2006/relationships/hyperlink" Target="https://www.wur.nl/en/Library/Researchers/Courses-and-demos-staff/Introduction-to-GitLab.htm" TargetMode="External"/><Relationship Id="rId25" Type="http://schemas.openxmlformats.org/officeDocument/2006/relationships/hyperlink" Target="https://doi.org/10.1371/journal.pcbi.1009481" TargetMode="External"/><Relationship Id="rId33" Type="http://schemas.openxmlformats.org/officeDocument/2006/relationships/hyperlink" Target="https://wordpress.org/openverse/" TargetMode="External"/><Relationship Id="rId38" Type="http://schemas.openxmlformats.org/officeDocument/2006/relationships/hyperlink" Target="https://www.esciencecenter.n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sciencecenter.nl/training-materials/" TargetMode="External"/><Relationship Id="rId20" Type="http://schemas.openxmlformats.org/officeDocument/2006/relationships/hyperlink" Target="https://doi.org/10.1016/j.grj.2015.02.017" TargetMode="External"/><Relationship Id="rId29" Type="http://schemas.openxmlformats.org/officeDocument/2006/relationships/hyperlink" Target="https://creativecommons.org/choose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e-rc.nl/node/22722" TargetMode="External"/><Relationship Id="rId24" Type="http://schemas.openxmlformats.org/officeDocument/2006/relationships/hyperlink" Target="https://doi.org/10.1038/d41586-019-01720-7" TargetMode="External"/><Relationship Id="rId32" Type="http://schemas.openxmlformats.org/officeDocument/2006/relationships/hyperlink" Target="http://brandportal.wur.nl/" TargetMode="External"/><Relationship Id="rId37" Type="http://schemas.openxmlformats.org/officeDocument/2006/relationships/hyperlink" Target="https://www.openscience.nl/en/home-2/" TargetMode="External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esciencecenter.nl/events/?f=workshops" TargetMode="External"/><Relationship Id="rId23" Type="http://schemas.openxmlformats.org/officeDocument/2006/relationships/hyperlink" Target="https://doi.org/10.1038/d41586-018-06008-w" TargetMode="External"/><Relationship Id="rId28" Type="http://schemas.openxmlformats.org/officeDocument/2006/relationships/hyperlink" Target="https://creativecommons.org/about/cclicenses/" TargetMode="External"/><Relationship Id="rId36" Type="http://schemas.openxmlformats.org/officeDocument/2006/relationships/hyperlink" Target="http://www.copdess.org/enabling-fair-data-project/commitment-to-enabling-fair-data-in-the-earth-space-and-environmental-sciences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doi.org/10.1038/sdata.2016.18" TargetMode="External"/><Relationship Id="rId31" Type="http://schemas.openxmlformats.org/officeDocument/2006/relationships/hyperlink" Target="https://www.geonovum.nl/geo-standaarden/metadat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u.nl/en/events/save-the-date-fair-data-day-2022" TargetMode="External"/><Relationship Id="rId22" Type="http://schemas.openxmlformats.org/officeDocument/2006/relationships/hyperlink" Target="https://doi.org/10.1002/2015EA000136" TargetMode="External"/><Relationship Id="rId27" Type="http://schemas.openxmlformats.org/officeDocument/2006/relationships/hyperlink" Target="https://doi.org/10.3233/DS-190026" TargetMode="External"/><Relationship Id="rId30" Type="http://schemas.openxmlformats.org/officeDocument/2006/relationships/hyperlink" Target="https://inspire.ec.europa.eu/id/document/tg/rs" TargetMode="External"/><Relationship Id="rId35" Type="http://schemas.openxmlformats.org/officeDocument/2006/relationships/hyperlink" Target="https://en.unesco.org/science-sustainable-future/open-science/recommendation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A8F63015BC149AF0B8ADC0189E417" ma:contentTypeVersion="12" ma:contentTypeDescription="Een nieuw document maken." ma:contentTypeScope="" ma:versionID="50e90b5de3b91032c5356798f9dc2e84">
  <xsd:schema xmlns:xsd="http://www.w3.org/2001/XMLSchema" xmlns:xs="http://www.w3.org/2001/XMLSchema" xmlns:p="http://schemas.microsoft.com/office/2006/metadata/properties" xmlns:ns2="b309e9f0-d7f2-41ab-8b15-8cc858fea1e1" xmlns:ns3="a2f9bf79-db8a-4e1e-b046-1a59d637cd1c" targetNamespace="http://schemas.microsoft.com/office/2006/metadata/properties" ma:root="true" ma:fieldsID="374e202a01a04d1512df12cb0a2a16e5" ns2:_="" ns3:_="">
    <xsd:import namespace="b309e9f0-d7f2-41ab-8b15-8cc858fea1e1"/>
    <xsd:import namespace="a2f9bf79-db8a-4e1e-b046-1a59d637c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e9f0-d7f2-41ab-8b15-8cc858fea1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5ec99919-4982-4388-8a64-83a11d2ca2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9bf79-db8a-4e1e-b046-1a59d637cd1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a317f7-e255-4000-ad1f-d213f4908be6}" ma:internalName="TaxCatchAll" ma:showField="CatchAllData" ma:web="a2f9bf79-db8a-4e1e-b046-1a59d637c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f9bf79-db8a-4e1e-b046-1a59d637cd1c" xsi:nil="true"/>
    <lcf76f155ced4ddcb4097134ff3c332f xmlns="b309e9f0-d7f2-41ab-8b15-8cc858fea1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821944-4858-4A60-ACA9-F6B9EBD1F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e9f0-d7f2-41ab-8b15-8cc858fea1e1"/>
    <ds:schemaRef ds:uri="a2f9bf79-db8a-4e1e-b046-1a59d637cd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3EB88-9F8F-4E08-B1CE-B1773235D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0DA3F8-94B3-4D12-8F74-1BF00D7613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5FC1B9-4DE4-4EFD-8FA4-43DF7CCCF7AC}">
  <ds:schemaRefs>
    <ds:schemaRef ds:uri="http://schemas.microsoft.com/office/2006/metadata/properties"/>
    <ds:schemaRef ds:uri="http://schemas.microsoft.com/office/infopath/2007/PartnerControls"/>
    <ds:schemaRef ds:uri="a2f9bf79-db8a-4e1e-b046-1a59d637cd1c"/>
    <ds:schemaRef ds:uri="b309e9f0-d7f2-41ab-8b15-8cc858fea1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735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4774</CharactersWithSpaces>
  <SharedDoc>false</SharedDoc>
  <HLinks>
    <vt:vector size="156" baseType="variant">
      <vt:variant>
        <vt:i4>8061034</vt:i4>
      </vt:variant>
      <vt:variant>
        <vt:i4>75</vt:i4>
      </vt:variant>
      <vt:variant>
        <vt:i4>0</vt:i4>
      </vt:variant>
      <vt:variant>
        <vt:i4>5</vt:i4>
      </vt:variant>
      <vt:variant>
        <vt:lpwstr>https://www.esciencecenter.nl/</vt:lpwstr>
      </vt:variant>
      <vt:variant>
        <vt:lpwstr/>
      </vt:variant>
      <vt:variant>
        <vt:i4>196700</vt:i4>
      </vt:variant>
      <vt:variant>
        <vt:i4>72</vt:i4>
      </vt:variant>
      <vt:variant>
        <vt:i4>0</vt:i4>
      </vt:variant>
      <vt:variant>
        <vt:i4>5</vt:i4>
      </vt:variant>
      <vt:variant>
        <vt:lpwstr>https://www.openscience.nl/en/home-2/</vt:lpwstr>
      </vt:variant>
      <vt:variant>
        <vt:lpwstr/>
      </vt:variant>
      <vt:variant>
        <vt:i4>1835079</vt:i4>
      </vt:variant>
      <vt:variant>
        <vt:i4>69</vt:i4>
      </vt:variant>
      <vt:variant>
        <vt:i4>0</vt:i4>
      </vt:variant>
      <vt:variant>
        <vt:i4>5</vt:i4>
      </vt:variant>
      <vt:variant>
        <vt:lpwstr>http://www.copdess.org/enabling-fair-data-project/commitment-to-enabling-fair-data-in-the-earth-space-and-environmental-sciences/</vt:lpwstr>
      </vt:variant>
      <vt:variant>
        <vt:lpwstr/>
      </vt:variant>
      <vt:variant>
        <vt:i4>1572942</vt:i4>
      </vt:variant>
      <vt:variant>
        <vt:i4>66</vt:i4>
      </vt:variant>
      <vt:variant>
        <vt:i4>0</vt:i4>
      </vt:variant>
      <vt:variant>
        <vt:i4>5</vt:i4>
      </vt:variant>
      <vt:variant>
        <vt:lpwstr>https://en.unesco.org/science-sustainable-future/open-science/recommendation</vt:lpwstr>
      </vt:variant>
      <vt:variant>
        <vt:lpwstr/>
      </vt:variant>
      <vt:variant>
        <vt:i4>7536645</vt:i4>
      </vt:variant>
      <vt:variant>
        <vt:i4>63</vt:i4>
      </vt:variant>
      <vt:variant>
        <vt:i4>0</vt:i4>
      </vt:variant>
      <vt:variant>
        <vt:i4>5</vt:i4>
      </vt:variant>
      <vt:variant>
        <vt:lpwstr>https://commons.wikimedia.org/wiki/Main_Page</vt:lpwstr>
      </vt:variant>
      <vt:variant>
        <vt:lpwstr/>
      </vt:variant>
      <vt:variant>
        <vt:i4>5177408</vt:i4>
      </vt:variant>
      <vt:variant>
        <vt:i4>60</vt:i4>
      </vt:variant>
      <vt:variant>
        <vt:i4>0</vt:i4>
      </vt:variant>
      <vt:variant>
        <vt:i4>5</vt:i4>
      </vt:variant>
      <vt:variant>
        <vt:lpwstr>https://wordpress.org/openverse/</vt:lpwstr>
      </vt:variant>
      <vt:variant>
        <vt:lpwstr/>
      </vt:variant>
      <vt:variant>
        <vt:i4>6881398</vt:i4>
      </vt:variant>
      <vt:variant>
        <vt:i4>57</vt:i4>
      </vt:variant>
      <vt:variant>
        <vt:i4>0</vt:i4>
      </vt:variant>
      <vt:variant>
        <vt:i4>5</vt:i4>
      </vt:variant>
      <vt:variant>
        <vt:lpwstr>https://inspire.ec.europa.eu/id/document/tg/rs</vt:lpwstr>
      </vt:variant>
      <vt:variant>
        <vt:lpwstr/>
      </vt:variant>
      <vt:variant>
        <vt:i4>7536673</vt:i4>
      </vt:variant>
      <vt:variant>
        <vt:i4>54</vt:i4>
      </vt:variant>
      <vt:variant>
        <vt:i4>0</vt:i4>
      </vt:variant>
      <vt:variant>
        <vt:i4>5</vt:i4>
      </vt:variant>
      <vt:variant>
        <vt:lpwstr>https://creativecommons.org/choose/</vt:lpwstr>
      </vt:variant>
      <vt:variant>
        <vt:lpwstr/>
      </vt:variant>
      <vt:variant>
        <vt:i4>4587587</vt:i4>
      </vt:variant>
      <vt:variant>
        <vt:i4>51</vt:i4>
      </vt:variant>
      <vt:variant>
        <vt:i4>0</vt:i4>
      </vt:variant>
      <vt:variant>
        <vt:i4>5</vt:i4>
      </vt:variant>
      <vt:variant>
        <vt:lpwstr>https://creativecommons.org/about/cclicenses/</vt:lpwstr>
      </vt:variant>
      <vt:variant>
        <vt:lpwstr/>
      </vt:variant>
      <vt:variant>
        <vt:i4>5373979</vt:i4>
      </vt:variant>
      <vt:variant>
        <vt:i4>48</vt:i4>
      </vt:variant>
      <vt:variant>
        <vt:i4>0</vt:i4>
      </vt:variant>
      <vt:variant>
        <vt:i4>5</vt:i4>
      </vt:variant>
      <vt:variant>
        <vt:lpwstr>https://doi.org/10.3233/DS-190026</vt:lpwstr>
      </vt:variant>
      <vt:variant>
        <vt:lpwstr/>
      </vt:variant>
      <vt:variant>
        <vt:i4>3932282</vt:i4>
      </vt:variant>
      <vt:variant>
        <vt:i4>45</vt:i4>
      </vt:variant>
      <vt:variant>
        <vt:i4>0</vt:i4>
      </vt:variant>
      <vt:variant>
        <vt:i4>5</vt:i4>
      </vt:variant>
      <vt:variant>
        <vt:lpwstr>https://doi.org/10.1515/itit-2019-0040</vt:lpwstr>
      </vt:variant>
      <vt:variant>
        <vt:lpwstr/>
      </vt:variant>
      <vt:variant>
        <vt:i4>4718664</vt:i4>
      </vt:variant>
      <vt:variant>
        <vt:i4>42</vt:i4>
      </vt:variant>
      <vt:variant>
        <vt:i4>0</vt:i4>
      </vt:variant>
      <vt:variant>
        <vt:i4>5</vt:i4>
      </vt:variant>
      <vt:variant>
        <vt:lpwstr>https://doi.org/10.1371/journal.pcbi.1009481</vt:lpwstr>
      </vt:variant>
      <vt:variant>
        <vt:lpwstr/>
      </vt:variant>
      <vt:variant>
        <vt:i4>3014688</vt:i4>
      </vt:variant>
      <vt:variant>
        <vt:i4>39</vt:i4>
      </vt:variant>
      <vt:variant>
        <vt:i4>0</vt:i4>
      </vt:variant>
      <vt:variant>
        <vt:i4>5</vt:i4>
      </vt:variant>
      <vt:variant>
        <vt:lpwstr>https://doi.org/10.1038/d41586-019-01720-7</vt:lpwstr>
      </vt:variant>
      <vt:variant>
        <vt:lpwstr/>
      </vt:variant>
      <vt:variant>
        <vt:i4>6291493</vt:i4>
      </vt:variant>
      <vt:variant>
        <vt:i4>36</vt:i4>
      </vt:variant>
      <vt:variant>
        <vt:i4>0</vt:i4>
      </vt:variant>
      <vt:variant>
        <vt:i4>5</vt:i4>
      </vt:variant>
      <vt:variant>
        <vt:lpwstr>https://doi.org/10.1038/d41586-018-06008-w</vt:lpwstr>
      </vt:variant>
      <vt:variant>
        <vt:lpwstr/>
      </vt:variant>
      <vt:variant>
        <vt:i4>4194317</vt:i4>
      </vt:variant>
      <vt:variant>
        <vt:i4>33</vt:i4>
      </vt:variant>
      <vt:variant>
        <vt:i4>0</vt:i4>
      </vt:variant>
      <vt:variant>
        <vt:i4>5</vt:i4>
      </vt:variant>
      <vt:variant>
        <vt:lpwstr>https://doi.org/10.1002/2015EA000136</vt:lpwstr>
      </vt:variant>
      <vt:variant>
        <vt:lpwstr/>
      </vt:variant>
      <vt:variant>
        <vt:i4>4915220</vt:i4>
      </vt:variant>
      <vt:variant>
        <vt:i4>30</vt:i4>
      </vt:variant>
      <vt:variant>
        <vt:i4>0</vt:i4>
      </vt:variant>
      <vt:variant>
        <vt:i4>5</vt:i4>
      </vt:variant>
      <vt:variant>
        <vt:lpwstr>https://doi.org/10.1016/j.grj.2015.02.004</vt:lpwstr>
      </vt:variant>
      <vt:variant>
        <vt:lpwstr/>
      </vt:variant>
      <vt:variant>
        <vt:i4>4849684</vt:i4>
      </vt:variant>
      <vt:variant>
        <vt:i4>27</vt:i4>
      </vt:variant>
      <vt:variant>
        <vt:i4>0</vt:i4>
      </vt:variant>
      <vt:variant>
        <vt:i4>5</vt:i4>
      </vt:variant>
      <vt:variant>
        <vt:lpwstr>https://doi.org/10.1016/j.grj.2015.02.017</vt:lpwstr>
      </vt:variant>
      <vt:variant>
        <vt:lpwstr/>
      </vt:variant>
      <vt:variant>
        <vt:i4>1638412</vt:i4>
      </vt:variant>
      <vt:variant>
        <vt:i4>24</vt:i4>
      </vt:variant>
      <vt:variant>
        <vt:i4>0</vt:i4>
      </vt:variant>
      <vt:variant>
        <vt:i4>5</vt:i4>
      </vt:variant>
      <vt:variant>
        <vt:lpwstr>https://doi.org/10.1038/sdata.2016.18</vt:lpwstr>
      </vt:variant>
      <vt:variant>
        <vt:lpwstr/>
      </vt:variant>
      <vt:variant>
        <vt:i4>7995423</vt:i4>
      </vt:variant>
      <vt:variant>
        <vt:i4>21</vt:i4>
      </vt:variant>
      <vt:variant>
        <vt:i4>0</vt:i4>
      </vt:variant>
      <vt:variant>
        <vt:i4>5</vt:i4>
      </vt:variant>
      <vt:variant>
        <vt:lpwstr>mailto:solen.leclech@wur.nl</vt:lpwstr>
      </vt:variant>
      <vt:variant>
        <vt:lpwstr/>
      </vt:variant>
      <vt:variant>
        <vt:i4>2031618</vt:i4>
      </vt:variant>
      <vt:variant>
        <vt:i4>18</vt:i4>
      </vt:variant>
      <vt:variant>
        <vt:i4>0</vt:i4>
      </vt:variant>
      <vt:variant>
        <vt:i4>5</vt:i4>
      </vt:variant>
      <vt:variant>
        <vt:lpwstr>https://www.wur.nl/en/Library/Researchers/Courses-and-demos-staff/Introduction-to-GitLab.htm</vt:lpwstr>
      </vt:variant>
      <vt:variant>
        <vt:lpwstr/>
      </vt:variant>
      <vt:variant>
        <vt:i4>1507411</vt:i4>
      </vt:variant>
      <vt:variant>
        <vt:i4>15</vt:i4>
      </vt:variant>
      <vt:variant>
        <vt:i4>0</vt:i4>
      </vt:variant>
      <vt:variant>
        <vt:i4>5</vt:i4>
      </vt:variant>
      <vt:variant>
        <vt:lpwstr>https://www.esciencecenter.nl/training-materials/</vt:lpwstr>
      </vt:variant>
      <vt:variant>
        <vt:lpwstr/>
      </vt:variant>
      <vt:variant>
        <vt:i4>917582</vt:i4>
      </vt:variant>
      <vt:variant>
        <vt:i4>12</vt:i4>
      </vt:variant>
      <vt:variant>
        <vt:i4>0</vt:i4>
      </vt:variant>
      <vt:variant>
        <vt:i4>5</vt:i4>
      </vt:variant>
      <vt:variant>
        <vt:lpwstr>https://www.esciencecenter.nl/events/?f=workshops</vt:lpwstr>
      </vt:variant>
      <vt:variant>
        <vt:lpwstr/>
      </vt:variant>
      <vt:variant>
        <vt:i4>65536</vt:i4>
      </vt:variant>
      <vt:variant>
        <vt:i4>9</vt:i4>
      </vt:variant>
      <vt:variant>
        <vt:i4>0</vt:i4>
      </vt:variant>
      <vt:variant>
        <vt:i4>5</vt:i4>
      </vt:variant>
      <vt:variant>
        <vt:lpwstr>https://www.uu.nl/en/events/save-the-date-fair-data-day-2022</vt:lpwstr>
      </vt:variant>
      <vt:variant>
        <vt:lpwstr/>
      </vt:variant>
      <vt:variant>
        <vt:i4>2228278</vt:i4>
      </vt:variant>
      <vt:variant>
        <vt:i4>6</vt:i4>
      </vt:variant>
      <vt:variant>
        <vt:i4>0</vt:i4>
      </vt:variant>
      <vt:variant>
        <vt:i4>5</vt:i4>
      </vt:variant>
      <vt:variant>
        <vt:lpwstr>https://wgs.crs.wur.nl/courses/details/469</vt:lpwstr>
      </vt:variant>
      <vt:variant>
        <vt:lpwstr/>
      </vt:variant>
      <vt:variant>
        <vt:i4>1507328</vt:i4>
      </vt:variant>
      <vt:variant>
        <vt:i4>3</vt:i4>
      </vt:variant>
      <vt:variant>
        <vt:i4>0</vt:i4>
      </vt:variant>
      <vt:variant>
        <vt:i4>5</vt:i4>
      </vt:variant>
      <vt:variant>
        <vt:lpwstr>https://wgs.crs.wur.nl/courses/details/84</vt:lpwstr>
      </vt:variant>
      <vt:variant>
        <vt:lpwstr/>
      </vt:variant>
      <vt:variant>
        <vt:i4>3670064</vt:i4>
      </vt:variant>
      <vt:variant>
        <vt:i4>0</vt:i4>
      </vt:variant>
      <vt:variant>
        <vt:i4>0</vt:i4>
      </vt:variant>
      <vt:variant>
        <vt:i4>5</vt:i4>
      </vt:variant>
      <vt:variant>
        <vt:lpwstr>https://www.pe-rc.nl/node/22722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Quik, Cindy</dc:creator>
  <cp:keywords/>
  <dc:description/>
  <cp:lastModifiedBy>Steinbuch, Luc</cp:lastModifiedBy>
  <cp:revision>47</cp:revision>
  <dcterms:created xsi:type="dcterms:W3CDTF">2022-09-21T13:11:00Z</dcterms:created>
  <dcterms:modified xsi:type="dcterms:W3CDTF">2022-10-26T13:07:00Z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0x010100803A8F63015BC149AF0B8ADC0189E417</vt:lpwstr>
  </property>
  <property fmtid="{D5CDD505-2E9C-101B-9397-08002B2CF9AE}" pid="3" name="MediaServiceImageTags">
    <vt:lpwstr/>
  </property>
</Properties>
</file>