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B31CE" w14:textId="77777777" w:rsidR="002948EB" w:rsidRPr="007E3992" w:rsidRDefault="002948EB" w:rsidP="002948EB">
      <w:pPr>
        <w:pStyle w:val="MainText"/>
        <w:jc w:val="both"/>
        <w:rPr>
          <w:b/>
          <w:sz w:val="28"/>
          <w:szCs w:val="28"/>
        </w:rPr>
      </w:pPr>
      <w:r w:rsidRPr="007E3992">
        <w:rPr>
          <w:b/>
          <w:sz w:val="28"/>
          <w:szCs w:val="28"/>
        </w:rPr>
        <w:t>Water sorption and diffusion in (reduced) graphene oxide-alginate biopolymer nanocomposites</w:t>
      </w:r>
    </w:p>
    <w:p w14:paraId="6DD28E84" w14:textId="77777777" w:rsidR="002948EB" w:rsidRPr="007E3992" w:rsidRDefault="002948EB" w:rsidP="00C91EA3">
      <w:pPr>
        <w:pStyle w:val="MainText"/>
      </w:pPr>
      <w:proofErr w:type="spellStart"/>
      <w:r w:rsidRPr="007E3992">
        <w:t>Karolis</w:t>
      </w:r>
      <w:proofErr w:type="spellEnd"/>
      <w:r w:rsidRPr="007E3992">
        <w:t xml:space="preserve"> </w:t>
      </w:r>
      <w:proofErr w:type="spellStart"/>
      <w:r w:rsidRPr="007E3992">
        <w:t>Vilcinskas</w:t>
      </w:r>
      <w:proofErr w:type="spellEnd"/>
      <w:r w:rsidRPr="007E3992">
        <w:t xml:space="preserve">, Jure Zlopasa, </w:t>
      </w:r>
      <w:proofErr w:type="spellStart"/>
      <w:r w:rsidRPr="007E3992">
        <w:t>Kaspar</w:t>
      </w:r>
      <w:proofErr w:type="spellEnd"/>
      <w:r w:rsidRPr="007E3992">
        <w:t xml:space="preserve"> M.B. Jansen, Fokko M. Mulder, Stephen J. Picken, and Ger J. M. Koper</w:t>
      </w:r>
    </w:p>
    <w:p w14:paraId="41B24042" w14:textId="77777777" w:rsidR="00C91EA3" w:rsidRPr="007E3992" w:rsidRDefault="00C91EA3" w:rsidP="00C91EA3">
      <w:pPr>
        <w:pStyle w:val="MainText"/>
        <w:rPr>
          <w:b/>
          <w:sz w:val="28"/>
          <w:szCs w:val="28"/>
        </w:rPr>
      </w:pPr>
      <w:r w:rsidRPr="007E3992">
        <w:rPr>
          <w:b/>
          <w:sz w:val="28"/>
          <w:szCs w:val="28"/>
        </w:rPr>
        <w:t>Supporting Information</w:t>
      </w:r>
    </w:p>
    <w:p w14:paraId="6E5809CD" w14:textId="77777777" w:rsidR="00C91EA3" w:rsidRPr="007E3992" w:rsidRDefault="00C91EA3" w:rsidP="00C91EA3">
      <w:pPr>
        <w:spacing w:after="200" w:line="480" w:lineRule="auto"/>
        <w:jc w:val="both"/>
        <w:rPr>
          <w:rFonts w:ascii="Times New Roman" w:hAnsi="Times New Roman"/>
          <w:b/>
          <w:color w:val="1C1C1C"/>
          <w:sz w:val="28"/>
          <w:szCs w:val="28"/>
        </w:rPr>
      </w:pPr>
      <w:r w:rsidRPr="007E3992">
        <w:rPr>
          <w:rFonts w:ascii="Times New Roman" w:hAnsi="Times New Roman"/>
          <w:b/>
          <w:noProof/>
          <w:color w:val="1C1C1C"/>
          <w:sz w:val="28"/>
          <w:szCs w:val="28"/>
          <w:lang w:val="en-GB" w:eastAsia="en-GB"/>
        </w:rPr>
        <w:drawing>
          <wp:inline distT="0" distB="0" distL="0" distR="0" wp14:anchorId="145138A5" wp14:editId="0AF6C3EC">
            <wp:extent cx="5723255" cy="5494655"/>
            <wp:effectExtent l="0" t="0" r="0" b="0"/>
            <wp:docPr id="1" name="Picture 1" descr="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549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CF7E8" w14:textId="77777777" w:rsidR="00C91EA3" w:rsidRPr="007E3992" w:rsidRDefault="00C91EA3" w:rsidP="00C91EA3">
      <w:pPr>
        <w:spacing w:after="200" w:line="480" w:lineRule="auto"/>
        <w:jc w:val="both"/>
        <w:rPr>
          <w:rFonts w:ascii="Times New Roman" w:hAnsi="Times New Roman"/>
        </w:rPr>
      </w:pPr>
      <w:r w:rsidRPr="007E3992">
        <w:rPr>
          <w:rFonts w:ascii="Times New Roman" w:hAnsi="Times New Roman"/>
          <w:b/>
        </w:rPr>
        <w:t xml:space="preserve">Figure S1. </w:t>
      </w:r>
      <w:r w:rsidRPr="007E3992">
        <w:rPr>
          <w:rFonts w:ascii="Times New Roman" w:hAnsi="Times New Roman"/>
        </w:rPr>
        <w:t>X-ray scattering patterns of (A) Na-</w:t>
      </w:r>
      <w:proofErr w:type="spellStart"/>
      <w:r w:rsidRPr="007E3992">
        <w:rPr>
          <w:rFonts w:ascii="Times New Roman" w:hAnsi="Times New Roman"/>
        </w:rPr>
        <w:t>Alg</w:t>
      </w:r>
      <w:proofErr w:type="spellEnd"/>
      <w:r w:rsidRPr="007E3992">
        <w:rPr>
          <w:rFonts w:ascii="Times New Roman" w:hAnsi="Times New Roman"/>
        </w:rPr>
        <w:t>/GO composite films, (B) Ca-</w:t>
      </w:r>
      <w:proofErr w:type="spellStart"/>
      <w:r w:rsidRPr="007E3992">
        <w:rPr>
          <w:rFonts w:ascii="Times New Roman" w:hAnsi="Times New Roman"/>
        </w:rPr>
        <w:t>Alg</w:t>
      </w:r>
      <w:proofErr w:type="spellEnd"/>
      <w:r w:rsidRPr="007E3992">
        <w:rPr>
          <w:rFonts w:ascii="Times New Roman" w:hAnsi="Times New Roman"/>
        </w:rPr>
        <w:t>/</w:t>
      </w:r>
      <w:proofErr w:type="spellStart"/>
      <w:r w:rsidRPr="007E3992">
        <w:rPr>
          <w:rFonts w:ascii="Times New Roman" w:hAnsi="Times New Roman"/>
        </w:rPr>
        <w:t>rGO</w:t>
      </w:r>
      <w:proofErr w:type="spellEnd"/>
      <w:r w:rsidRPr="007E3992">
        <w:rPr>
          <w:rFonts w:ascii="Times New Roman" w:hAnsi="Times New Roman"/>
        </w:rPr>
        <w:t xml:space="preserve"> composite films, and (C) Ba-</w:t>
      </w:r>
      <w:proofErr w:type="spellStart"/>
      <w:r w:rsidRPr="007E3992">
        <w:rPr>
          <w:rFonts w:ascii="Times New Roman" w:hAnsi="Times New Roman"/>
        </w:rPr>
        <w:t>Alg</w:t>
      </w:r>
      <w:proofErr w:type="spellEnd"/>
      <w:r w:rsidRPr="007E3992">
        <w:rPr>
          <w:rFonts w:ascii="Times New Roman" w:hAnsi="Times New Roman"/>
        </w:rPr>
        <w:t>/</w:t>
      </w:r>
      <w:proofErr w:type="spellStart"/>
      <w:r w:rsidRPr="007E3992">
        <w:rPr>
          <w:rFonts w:ascii="Times New Roman" w:hAnsi="Times New Roman"/>
        </w:rPr>
        <w:t>rGO</w:t>
      </w:r>
      <w:proofErr w:type="spellEnd"/>
      <w:r w:rsidRPr="007E3992">
        <w:rPr>
          <w:rFonts w:ascii="Times New Roman" w:hAnsi="Times New Roman"/>
        </w:rPr>
        <w:t xml:space="preserve"> composite films. The spectra were collected in the Bragg-Brentano reflection configuration, normalized and shifted upwards.</w:t>
      </w:r>
    </w:p>
    <w:p w14:paraId="4F3F51A0" w14:textId="77777777" w:rsidR="00C91EA3" w:rsidRPr="007E3992" w:rsidRDefault="00C91EA3" w:rsidP="00C91EA3">
      <w:pPr>
        <w:spacing w:after="200" w:line="480" w:lineRule="auto"/>
        <w:jc w:val="both"/>
        <w:rPr>
          <w:rFonts w:ascii="Times New Roman" w:hAnsi="Times New Roman"/>
          <w:color w:val="1C1C1C"/>
          <w:lang w:val="nl-NL"/>
        </w:rPr>
      </w:pPr>
      <w:r w:rsidRPr="007E3992">
        <w:rPr>
          <w:rFonts w:ascii="Times New Roman" w:hAnsi="Times New Roman"/>
          <w:color w:val="1C1C1C"/>
        </w:rPr>
        <w:lastRenderedPageBreak/>
        <w:t>Figure S1 illustrates X-ray scattering patterns of (reduced) graphene oxide-alginate composite samples. As illustrated in Figure S1 (A), with increasing GO concentration, the peak at about 0.6 A</w:t>
      </w:r>
      <w:r w:rsidRPr="007E3992">
        <w:rPr>
          <w:rFonts w:ascii="Times New Roman" w:hAnsi="Times New Roman"/>
          <w:color w:val="1C1C1C"/>
          <w:vertAlign w:val="superscript"/>
        </w:rPr>
        <w:t>-1</w:t>
      </w:r>
      <w:r w:rsidRPr="007E3992">
        <w:rPr>
          <w:rFonts w:ascii="Times New Roman" w:hAnsi="Times New Roman"/>
          <w:color w:val="1C1C1C"/>
        </w:rPr>
        <w:t>, corresponding to the interlayer spacing between GO sheets of approximately 11 Å, becomes more prominent. The broad peak at 1.4 A</w:t>
      </w:r>
      <w:r w:rsidRPr="007E3992">
        <w:rPr>
          <w:rFonts w:ascii="Times New Roman" w:hAnsi="Times New Roman"/>
          <w:color w:val="1C1C1C"/>
          <w:vertAlign w:val="superscript"/>
        </w:rPr>
        <w:t>-1</w:t>
      </w:r>
      <w:r w:rsidRPr="007E3992">
        <w:rPr>
          <w:rFonts w:ascii="Times New Roman" w:hAnsi="Times New Roman"/>
          <w:color w:val="1C1C1C"/>
        </w:rPr>
        <w:t xml:space="preserve"> corresponds to an amorphous structure of Sodium alginate with the average 4.5 Å distance between the polymer chains. With increasing GO concentration, the average spacing between the neighboring polymer chains increases to 5.2 Å, which suggests intercalation of GO sheets between the </w:t>
      </w:r>
      <w:bookmarkStart w:id="0" w:name="_GoBack"/>
      <w:bookmarkEnd w:id="0"/>
      <w:r w:rsidRPr="007E3992">
        <w:rPr>
          <w:rFonts w:ascii="Times New Roman" w:hAnsi="Times New Roman"/>
          <w:color w:val="1C1C1C"/>
        </w:rPr>
        <w:t xml:space="preserve">polymer chains. As shown in Figure S1 (B), upon cross-linking alginate with Calcium ions, the interlayer spacing between the adjacent polymer chains increased to approximately 6.3 Å, the value previously reported by other authors </w:t>
      </w:r>
      <w:hyperlink w:anchor="_ENREF_1" w:tooltip="Li, 2007 #124" w:history="1">
        <w:r w:rsidRPr="007E3992">
          <w:rPr>
            <w:rFonts w:ascii="Times New Roman" w:hAnsi="Times New Roman"/>
            <w:color w:val="1C1C1C"/>
          </w:rPr>
          <w:fldChar w:fldCharType="begin"/>
        </w:r>
        <w:r w:rsidRPr="007E3992">
          <w:rPr>
            <w:rFonts w:ascii="Times New Roman" w:hAnsi="Times New Roman"/>
            <w:color w:val="1C1C1C"/>
          </w:rPr>
          <w:instrText xml:space="preserve"> ADDIN EN.CITE &lt;EndNote&gt;&lt;Cite&gt;&lt;Author&gt;Li&lt;/Author&gt;&lt;Year&gt;2007&lt;/Year&gt;&lt;RecNum&gt;124&lt;/RecNum&gt;&lt;DisplayText&gt;&lt;style face="superscript"&gt;1&lt;/style&gt;&lt;/DisplayText&gt;&lt;record&gt;&lt;rec-number&gt;124&lt;/rec-number&gt;&lt;foreign-keys&gt;&lt;key app="EN" db-id="dsdev20d1axewbe2rpa52dsdwxxdvztr59t2"&gt;124&lt;/key&gt;&lt;/foreign-keys&gt;&lt;ref-type name="Journal Article"&gt;17&lt;/ref-type&gt;&lt;contributors&gt;&lt;authors&gt;&lt;author&gt;Li, L. B.&lt;/author&gt;&lt;author&gt;Fang, Y. P.&lt;/author&gt;&lt;author&gt;Vreeker, R.&lt;/author&gt;&lt;author&gt;Appelqvist, I.&lt;/author&gt;&lt;author&gt;Mendes, E.&lt;/author&gt;&lt;/authors&gt;&lt;/contributors&gt;&lt;auth-address&gt;Unilever Food &amp;amp; Hlth Res Inst, NL-3133 AT Vlaardingen, Netherlands&amp;#xD;Delft Univ Technol, Polymer Mat Eng, NL-2628 BL Delft, Netherlands&lt;/auth-address&gt;&lt;titles&gt;&lt;title&gt;Reexamining the egg-box model in calcium-alginate gels with X-ray diffraction&lt;/title&gt;&lt;secondary-title&gt;Biomacromolecules&lt;/secondary-title&gt;&lt;alt-title&gt;Biomacromolecules&lt;/alt-title&gt;&lt;/titles&gt;&lt;periodical&gt;&lt;full-title&gt;Biomacromolecules&lt;/full-title&gt;&lt;abbr-1&gt;Biomacromolecules&lt;/abbr-1&gt;&lt;/periodical&gt;&lt;alt-periodical&gt;&lt;full-title&gt;Biomacromolecules&lt;/full-title&gt;&lt;abbr-1&gt;Biomacromolecules&lt;/abbr-1&gt;&lt;/alt-periodical&gt;&lt;pages&gt;464-468&lt;/pages&gt;&lt;volume&gt;8&lt;/volume&gt;&lt;number&gt;2&lt;/number&gt;&lt;keywords&gt;&lt;keyword&gt;structural components&lt;/keyword&gt;&lt;keyword&gt;crystalline-structure&lt;/keyword&gt;&lt;keyword&gt;polysaccharides&lt;/keyword&gt;&lt;keyword&gt;acid&lt;/keyword&gt;&lt;keyword&gt;gelation&lt;/keyword&gt;&lt;/keywords&gt;&lt;dates&gt;&lt;year&gt;2007&lt;/year&gt;&lt;pub-dates&gt;&lt;date&gt;Feb&lt;/date&gt;&lt;/pub-dates&gt;&lt;/dates&gt;&lt;isbn&gt;1525-7797&lt;/isbn&gt;&lt;accession-num&gt;WOS:000244119200022&lt;/accession-num&gt;&lt;urls&gt;&lt;related-urls&gt;&lt;url&gt;&amp;lt;Go to ISI&amp;gt;://WOS:000244119200022&lt;/url&gt;&lt;/related-urls&gt;&lt;/urls&gt;&lt;electronic-resource-num&gt;10.1021/bm060550a&lt;/electronic-resource-num&gt;&lt;language&gt;English&lt;/language&gt;&lt;/record&gt;&lt;/Cite&gt;&lt;/EndNote&gt;</w:instrText>
        </w:r>
        <w:r w:rsidRPr="007E3992">
          <w:rPr>
            <w:rFonts w:ascii="Times New Roman" w:hAnsi="Times New Roman"/>
            <w:color w:val="1C1C1C"/>
          </w:rPr>
          <w:fldChar w:fldCharType="separate"/>
        </w:r>
        <w:r w:rsidRPr="007E3992">
          <w:rPr>
            <w:rFonts w:ascii="Times New Roman" w:hAnsi="Times New Roman"/>
            <w:noProof/>
            <w:color w:val="1C1C1C"/>
            <w:vertAlign w:val="superscript"/>
          </w:rPr>
          <w:t>1</w:t>
        </w:r>
        <w:r w:rsidRPr="007E3992">
          <w:rPr>
            <w:rFonts w:ascii="Times New Roman" w:hAnsi="Times New Roman"/>
            <w:color w:val="1C1C1C"/>
          </w:rPr>
          <w:fldChar w:fldCharType="end"/>
        </w:r>
      </w:hyperlink>
      <w:r w:rsidRPr="007E3992">
        <w:rPr>
          <w:rFonts w:ascii="Times New Roman" w:hAnsi="Times New Roman"/>
          <w:color w:val="1C1C1C"/>
        </w:rPr>
        <w:t xml:space="preserve">. With increasing amount of </w:t>
      </w:r>
      <w:proofErr w:type="spellStart"/>
      <w:r w:rsidRPr="007E3992">
        <w:rPr>
          <w:rFonts w:ascii="Times New Roman" w:hAnsi="Times New Roman"/>
          <w:color w:val="1C1C1C"/>
        </w:rPr>
        <w:t>rGO</w:t>
      </w:r>
      <w:proofErr w:type="spellEnd"/>
      <w:r w:rsidRPr="007E3992">
        <w:rPr>
          <w:rFonts w:ascii="Times New Roman" w:hAnsi="Times New Roman"/>
          <w:color w:val="1C1C1C"/>
        </w:rPr>
        <w:t>, the new peak at about 1.7 A</w:t>
      </w:r>
      <w:r w:rsidRPr="007E3992">
        <w:rPr>
          <w:rFonts w:ascii="Times New Roman" w:hAnsi="Times New Roman"/>
          <w:color w:val="1C1C1C"/>
          <w:vertAlign w:val="superscript"/>
        </w:rPr>
        <w:t>-1</w:t>
      </w:r>
      <w:r w:rsidRPr="007E3992">
        <w:rPr>
          <w:rFonts w:ascii="Times New Roman" w:hAnsi="Times New Roman"/>
          <w:color w:val="1C1C1C"/>
        </w:rPr>
        <w:t xml:space="preserve"> begins to evolve corresponding to the interlayer spacing between </w:t>
      </w:r>
      <w:proofErr w:type="spellStart"/>
      <w:r w:rsidRPr="007E3992">
        <w:rPr>
          <w:rFonts w:ascii="Times New Roman" w:hAnsi="Times New Roman"/>
          <w:color w:val="1C1C1C"/>
        </w:rPr>
        <w:t>rGO</w:t>
      </w:r>
      <w:proofErr w:type="spellEnd"/>
      <w:r w:rsidRPr="007E3992">
        <w:rPr>
          <w:rFonts w:ascii="Times New Roman" w:hAnsi="Times New Roman"/>
          <w:color w:val="1C1C1C"/>
        </w:rPr>
        <w:t xml:space="preserve"> sheets of 3.7 Å </w:t>
      </w:r>
      <w:hyperlink w:anchor="_ENREF_2" w:tooltip="Park, 2011 #123" w:history="1">
        <w:r w:rsidRPr="007E3992">
          <w:rPr>
            <w:rFonts w:ascii="Times New Roman" w:hAnsi="Times New Roman"/>
            <w:color w:val="1C1C1C"/>
          </w:rPr>
          <w:fldChar w:fldCharType="begin"/>
        </w:r>
        <w:r w:rsidRPr="007E3992">
          <w:rPr>
            <w:rFonts w:ascii="Times New Roman" w:hAnsi="Times New Roman"/>
            <w:color w:val="1C1C1C"/>
          </w:rPr>
          <w:instrText xml:space="preserve"> ADDIN EN.CITE &lt;EndNote&gt;&lt;Cite&gt;&lt;Author&gt;Park&lt;/Author&gt;&lt;Year&gt;2011&lt;/Year&gt;&lt;RecNum&gt;123&lt;/RecNum&gt;&lt;DisplayText&gt;&lt;style face="superscript"&gt;2&lt;/style&gt;&lt;/DisplayText&gt;&lt;record&gt;&lt;rec-number&gt;123&lt;/rec-number&gt;&lt;foreign-keys&gt;&lt;key app="EN" db-id="dsdev20d1axewbe2rpa52dsdwxxdvztr59t2"&gt;123&lt;/key&gt;&lt;/foreign-keys&gt;&lt;ref-type name="Journal Article"&gt;17&lt;/ref-type&gt;&lt;contributors&gt;&lt;authors&gt;&lt;author&gt;Park, S.&lt;/author&gt;&lt;author&gt;An, J.&lt;/author&gt;&lt;author&gt;Potts, J. R.&lt;/author&gt;&lt;author&gt;Velamakanni, A.&lt;/author&gt;&lt;author&gt;Murali, S.&lt;/author&gt;&lt;author&gt;Ruoff, R. S.&lt;/author&gt;&lt;/authors&gt;&lt;/contributors&gt;&lt;auth-address&gt;Univ Texas Austin, Dept Mech Engn, Austin, TX 78712 USA&amp;#xD;Univ Texas Austin, Texas Mat Inst, Austin, TX 78712 USA&amp;#xD;Inha Univ, Dept Chem, Inchon 402751, South Korea&lt;/auth-address&gt;&lt;titles&gt;&lt;title&gt;Hydrazine-reduction of graphite- and graphene oxide&lt;/title&gt;&lt;secondary-title&gt;Carbon&lt;/secondary-title&gt;&lt;alt-title&gt;Carbon&lt;/alt-title&gt;&lt;/titles&gt;&lt;periodical&gt;&lt;full-title&gt;Carbon&lt;/full-title&gt;&lt;abbr-1&gt;Carbon&lt;/abbr-1&gt;&lt;/periodical&gt;&lt;alt-periodical&gt;&lt;full-title&gt;Carbon&lt;/full-title&gt;&lt;abbr-1&gt;Carbon&lt;/abbr-1&gt;&lt;/alt-periodical&gt;&lt;pages&gt;3019-3023&lt;/pages&gt;&lt;volume&gt;49&lt;/volume&gt;&lt;number&gt;9&lt;/number&gt;&lt;keywords&gt;&lt;keyword&gt;films&lt;/keyword&gt;&lt;keyword&gt;nanosheets&lt;/keyword&gt;&lt;keyword&gt;composite&lt;/keyword&gt;&lt;keyword&gt;transparent&lt;/keyword&gt;&lt;keyword&gt;sheets&lt;/keyword&gt;&lt;keyword&gt;paper&lt;/keyword&gt;&lt;/keywords&gt;&lt;dates&gt;&lt;year&gt;2011&lt;/year&gt;&lt;pub-dates&gt;&lt;date&gt;Aug&lt;/date&gt;&lt;/pub-dates&gt;&lt;/dates&gt;&lt;isbn&gt;0008-6223&lt;/isbn&gt;&lt;accession-num&gt;WOS:000291188300015&lt;/accession-num&gt;&lt;urls&gt;&lt;related-urls&gt;&lt;url&gt;&amp;lt;Go to ISI&amp;gt;://WOS:000291188300015&lt;/url&gt;&lt;/related-urls&gt;&lt;/urls&gt;&lt;electronic-resource-num&gt;10.1016/j.carbon.2011.02.071&lt;/electronic-resource-num&gt;&lt;language&gt;English&lt;/language&gt;&lt;/record&gt;&lt;/Cite&gt;&lt;/EndNote&gt;</w:instrText>
        </w:r>
        <w:r w:rsidRPr="007E3992">
          <w:rPr>
            <w:rFonts w:ascii="Times New Roman" w:hAnsi="Times New Roman"/>
            <w:color w:val="1C1C1C"/>
          </w:rPr>
          <w:fldChar w:fldCharType="separate"/>
        </w:r>
        <w:r w:rsidRPr="007E3992">
          <w:rPr>
            <w:rFonts w:ascii="Times New Roman" w:hAnsi="Times New Roman"/>
            <w:noProof/>
            <w:color w:val="1C1C1C"/>
            <w:vertAlign w:val="superscript"/>
          </w:rPr>
          <w:t>2</w:t>
        </w:r>
        <w:r w:rsidRPr="007E3992">
          <w:rPr>
            <w:rFonts w:ascii="Times New Roman" w:hAnsi="Times New Roman"/>
            <w:color w:val="1C1C1C"/>
          </w:rPr>
          <w:fldChar w:fldCharType="end"/>
        </w:r>
      </w:hyperlink>
      <w:r w:rsidRPr="007E3992">
        <w:rPr>
          <w:rFonts w:ascii="Times New Roman" w:hAnsi="Times New Roman"/>
          <w:color w:val="1C1C1C"/>
        </w:rPr>
        <w:t xml:space="preserve">. In addition, the original polymer peak shifts to higher interlayer </w:t>
      </w:r>
      <w:proofErr w:type="spellStart"/>
      <w:r w:rsidRPr="007E3992">
        <w:rPr>
          <w:rFonts w:ascii="Times New Roman" w:hAnsi="Times New Roman"/>
          <w:color w:val="1C1C1C"/>
        </w:rPr>
        <w:t>spacings</w:t>
      </w:r>
      <w:proofErr w:type="spellEnd"/>
      <w:r w:rsidRPr="007E3992">
        <w:rPr>
          <w:rFonts w:ascii="Times New Roman" w:hAnsi="Times New Roman"/>
          <w:color w:val="1C1C1C"/>
        </w:rPr>
        <w:t xml:space="preserve"> with increasing weight fraction of </w:t>
      </w:r>
      <w:proofErr w:type="spellStart"/>
      <w:r w:rsidRPr="007E3992">
        <w:rPr>
          <w:rFonts w:ascii="Times New Roman" w:hAnsi="Times New Roman"/>
          <w:color w:val="1C1C1C"/>
        </w:rPr>
        <w:t>rGO</w:t>
      </w:r>
      <w:proofErr w:type="spellEnd"/>
      <w:r w:rsidRPr="007E3992">
        <w:rPr>
          <w:rFonts w:ascii="Times New Roman" w:hAnsi="Times New Roman"/>
          <w:color w:val="1C1C1C"/>
        </w:rPr>
        <w:t xml:space="preserve"> and merges with that of </w:t>
      </w:r>
      <w:proofErr w:type="spellStart"/>
      <w:r w:rsidRPr="007E3992">
        <w:rPr>
          <w:rFonts w:ascii="Times New Roman" w:hAnsi="Times New Roman"/>
          <w:color w:val="1C1C1C"/>
        </w:rPr>
        <w:t>rGO</w:t>
      </w:r>
      <w:proofErr w:type="spellEnd"/>
      <w:r w:rsidRPr="007E3992">
        <w:rPr>
          <w:rFonts w:ascii="Times New Roman" w:hAnsi="Times New Roman"/>
          <w:color w:val="1C1C1C"/>
        </w:rPr>
        <w:t xml:space="preserve">. Barium alginate and its </w:t>
      </w:r>
      <w:proofErr w:type="spellStart"/>
      <w:r w:rsidRPr="007E3992">
        <w:rPr>
          <w:rFonts w:ascii="Times New Roman" w:hAnsi="Times New Roman"/>
          <w:color w:val="1C1C1C"/>
        </w:rPr>
        <w:t>rGO</w:t>
      </w:r>
      <w:proofErr w:type="spellEnd"/>
      <w:r w:rsidRPr="007E3992">
        <w:rPr>
          <w:rFonts w:ascii="Times New Roman" w:hAnsi="Times New Roman"/>
          <w:color w:val="1C1C1C"/>
        </w:rPr>
        <w:t xml:space="preserve"> composites, on the other hand, possess a completely different microstructure. The unfilled polymer exhibits a semi-crystalline structure that begins to evolve to quasi-crystalline structure in the presence of </w:t>
      </w:r>
      <w:proofErr w:type="spellStart"/>
      <w:r w:rsidRPr="007E3992">
        <w:rPr>
          <w:rFonts w:ascii="Times New Roman" w:hAnsi="Times New Roman"/>
          <w:color w:val="1C1C1C"/>
        </w:rPr>
        <w:t>rGO</w:t>
      </w:r>
      <w:proofErr w:type="spellEnd"/>
      <w:r w:rsidRPr="007E3992">
        <w:rPr>
          <w:rFonts w:ascii="Times New Roman" w:hAnsi="Times New Roman"/>
          <w:color w:val="1C1C1C"/>
        </w:rPr>
        <w:t>. We refer our readers to a more detailed discussion on the formation of the incommensurately modulated structure of Ba-</w:t>
      </w:r>
      <w:proofErr w:type="spellStart"/>
      <w:r w:rsidRPr="007E3992">
        <w:rPr>
          <w:rFonts w:ascii="Times New Roman" w:hAnsi="Times New Roman"/>
          <w:color w:val="1C1C1C"/>
        </w:rPr>
        <w:t>Alg</w:t>
      </w:r>
      <w:proofErr w:type="spellEnd"/>
      <w:r w:rsidRPr="007E3992">
        <w:rPr>
          <w:rFonts w:ascii="Times New Roman" w:hAnsi="Times New Roman"/>
          <w:color w:val="1C1C1C"/>
        </w:rPr>
        <w:t>/</w:t>
      </w:r>
      <w:proofErr w:type="spellStart"/>
      <w:r w:rsidRPr="007E3992">
        <w:rPr>
          <w:rFonts w:ascii="Times New Roman" w:hAnsi="Times New Roman"/>
          <w:color w:val="1C1C1C"/>
        </w:rPr>
        <w:t>rGO</w:t>
      </w:r>
      <w:proofErr w:type="spellEnd"/>
      <w:r w:rsidRPr="007E3992">
        <w:rPr>
          <w:rFonts w:ascii="Times New Roman" w:hAnsi="Times New Roman"/>
          <w:color w:val="1C1C1C"/>
        </w:rPr>
        <w:t xml:space="preserve"> composites in our recent publication </w:t>
      </w:r>
      <w:hyperlink w:anchor="_ENREF_3" w:tooltip="Vilcinskas, 2015 #22" w:history="1">
        <w:r w:rsidRPr="007E3992">
          <w:rPr>
            <w:rFonts w:ascii="Times New Roman" w:hAnsi="Times New Roman"/>
            <w:color w:val="1C1C1C"/>
          </w:rPr>
          <w:fldChar w:fldCharType="begin"/>
        </w:r>
        <w:r w:rsidRPr="007E3992">
          <w:rPr>
            <w:rFonts w:ascii="Times New Roman" w:hAnsi="Times New Roman"/>
            <w:color w:val="1C1C1C"/>
          </w:rPr>
          <w:instrText xml:space="preserve"> ADDIN EN.CITE &lt;EndNote&gt;&lt;Cite&gt;&lt;Author&gt;Vilcinskas&lt;/Author&gt;&lt;Year&gt;2015&lt;/Year&gt;&lt;RecNum&gt;22&lt;/RecNum&gt;&lt;DisplayText&gt;&lt;style face="superscript"&gt;3&lt;/style&gt;&lt;/DisplayText&gt;&lt;record&gt;&lt;rec-number&gt;22&lt;/rec-number&gt;&lt;foreign-keys&gt;&lt;key app="EN" db-id="dsdev20d1axewbe2rpa52dsdwxxdvztr59t2"&gt;22&lt;/key&gt;&lt;/foreign-keys&gt;&lt;ref-type name="Journal Article"&gt;17&lt;/ref-type&gt;&lt;contributors&gt;&lt;authors&gt;&lt;author&gt;Vilcinskas, K.&lt;/author&gt;&lt;author&gt;Norder, B.&lt;/author&gt;&lt;author&gt;Goubitz,</w:instrText>
        </w:r>
        <w:r w:rsidRPr="007E3992">
          <w:rPr>
            <w:rFonts w:ascii="Times New Roman" w:hAnsi="Times New Roman"/>
            <w:color w:val="1C1C1C"/>
            <w:lang w:val="nl-NL"/>
          </w:rPr>
          <w:instrText xml:space="preserve"> K.&lt;/author&gt;&lt;author&gt;Mulder, F. M.&lt;/author&gt;&lt;author&gt;Koper, G. J. M.&lt;/author&gt;&lt;author&gt;Picken, S. J.&lt;/author&gt;&lt;/authors&gt;&lt;/contributors&gt;&lt;auth-address&gt;Delft Univ Technol, Dept Chem Engn, NL-2628 BL Delft, Netherlands&amp;#xD;Delft Univ Technol, Dept Radiat Sci &amp;amp; Technol, NL-2629 JB Delft, Netherlands&lt;/auth-address&gt;&lt;titles&gt;&lt;title&gt;Tunable Order in Alginate/Graphene Biopolymer Nanocomposites&lt;/title&gt;&lt;secondary-title&gt;Macromolecules&lt;/secondary-title&gt;&lt;alt-title&gt;Macromolecules&lt;/alt-title&gt;&lt;/titles&gt;&lt;periodical&gt;&lt;full-title&gt;Macromolecules&lt;/full-title&gt;&lt;abbr-1&gt;Macromolecules&lt;/abbr-1&gt;&lt;/periodical&gt;&lt;alt-periodical&gt;&lt;full-title&gt;Macromolecules&lt;/full-title&gt;&lt;abbr-1&gt;Macromolecules&lt;/abbr-1&gt;&lt;/alt-periodical&gt;&lt;pages&gt;8323-8330&lt;/pages&gt;&lt;volume&gt;48&lt;/volume&gt;&lt;number&gt;22&lt;/number&gt;&lt;keywords&gt;&lt;keyword&gt;calcium-alginate gels&lt;/keyword&gt;&lt;keyword&gt;oxide composite films&lt;/keyword&gt;&lt;keyword&gt;x-ray-diffraction&lt;/keyword&gt;&lt;keyword&gt;graphene oxide&lt;/keyword&gt;&lt;keyword&gt;electrical-conductivity&lt;/keyword&gt;&lt;keyword&gt;mechanical-properties&lt;/keyword&gt;&lt;keyword&gt;aramid solutions&lt;/keyword&gt;&lt;keyword&gt;graphite oxide&lt;/keyword&gt;&lt;keyword&gt;gas barrier&lt;/keyword&gt;&lt;keyword&gt;metal-ions&lt;/keyword&gt;&lt;/keywords&gt;&lt;dates&gt;&lt;year&gt;2015&lt;/year&gt;&lt;pub-dates&gt;&lt;date&gt;Nov 24&lt;/date&gt;&lt;/pub-dates&gt;&lt;/dates&gt;&lt;isbn&gt;0024-9297&lt;/isbn&gt;&lt;accession-num&gt;WOS:000365463900027&lt;/accession-num&gt;&lt;urls&gt;&lt;related-urls&gt;&lt;url&gt;&amp;lt;Go to ISI&amp;gt;://WOS:000365463900027&lt;/url&gt;&lt;/related-urls&gt;&lt;/urls&gt;&lt;electronic-resource-num&gt;10.1021/acs.macromol.5b01380&lt;/electronic-resource-num&gt;&lt;language&gt;English&lt;/language&gt;&lt;/record&gt;&lt;/Cite&gt;&lt;/EndNote&gt;</w:instrText>
        </w:r>
        <w:r w:rsidRPr="007E3992">
          <w:rPr>
            <w:rFonts w:ascii="Times New Roman" w:hAnsi="Times New Roman"/>
            <w:color w:val="1C1C1C"/>
          </w:rPr>
          <w:fldChar w:fldCharType="separate"/>
        </w:r>
        <w:r w:rsidRPr="007E3992">
          <w:rPr>
            <w:rFonts w:ascii="Times New Roman" w:hAnsi="Times New Roman"/>
            <w:noProof/>
            <w:color w:val="1C1C1C"/>
            <w:vertAlign w:val="superscript"/>
            <w:lang w:val="nl-NL"/>
          </w:rPr>
          <w:t>3</w:t>
        </w:r>
        <w:r w:rsidRPr="007E3992">
          <w:rPr>
            <w:rFonts w:ascii="Times New Roman" w:hAnsi="Times New Roman"/>
            <w:color w:val="1C1C1C"/>
          </w:rPr>
          <w:fldChar w:fldCharType="end"/>
        </w:r>
      </w:hyperlink>
      <w:r w:rsidRPr="007E3992">
        <w:rPr>
          <w:rFonts w:ascii="Times New Roman" w:hAnsi="Times New Roman"/>
          <w:color w:val="1C1C1C"/>
          <w:lang w:val="nl-NL"/>
        </w:rPr>
        <w:t xml:space="preserve">. </w:t>
      </w:r>
    </w:p>
    <w:p w14:paraId="4B2B58DE" w14:textId="77777777" w:rsidR="00C91EA3" w:rsidRPr="007E3992" w:rsidRDefault="00C91EA3">
      <w:pPr>
        <w:rPr>
          <w:lang w:val="nl-NL"/>
        </w:rPr>
        <w:sectPr w:rsidR="00C91EA3" w:rsidRPr="007E3992" w:rsidSect="00194B22">
          <w:pgSz w:w="11900" w:h="16840"/>
          <w:pgMar w:top="1440" w:right="1440" w:bottom="1440" w:left="1440" w:header="1168" w:footer="1168" w:gutter="0"/>
          <w:cols w:space="708"/>
          <w:docGrid w:linePitch="360"/>
        </w:sectPr>
      </w:pPr>
    </w:p>
    <w:p w14:paraId="58FD0C25" w14:textId="77777777" w:rsidR="00C91EA3" w:rsidRPr="007E3992" w:rsidRDefault="00C91EA3">
      <w:pPr>
        <w:rPr>
          <w:rFonts w:ascii="Times New Roman" w:hAnsi="Times New Roman"/>
          <w:b/>
          <w:sz w:val="28"/>
          <w:szCs w:val="28"/>
          <w:lang w:val="nl-NL"/>
        </w:rPr>
      </w:pPr>
      <w:r w:rsidRPr="007E3992">
        <w:rPr>
          <w:rFonts w:ascii="Times New Roman" w:hAnsi="Times New Roman"/>
          <w:b/>
          <w:sz w:val="28"/>
          <w:szCs w:val="28"/>
          <w:lang w:val="nl-NL"/>
        </w:rPr>
        <w:lastRenderedPageBreak/>
        <w:t>References</w:t>
      </w:r>
    </w:p>
    <w:p w14:paraId="7EC7DCED" w14:textId="77777777" w:rsidR="00C91EA3" w:rsidRPr="007E3992" w:rsidRDefault="00C91EA3">
      <w:pPr>
        <w:rPr>
          <w:lang w:val="nl-NL"/>
        </w:rPr>
      </w:pPr>
    </w:p>
    <w:p w14:paraId="5473691B" w14:textId="77777777" w:rsidR="00C91EA3" w:rsidRPr="007E3992" w:rsidRDefault="00C91EA3" w:rsidP="00C91EA3">
      <w:pPr>
        <w:spacing w:line="480" w:lineRule="auto"/>
        <w:rPr>
          <w:rFonts w:ascii="Times New Roman" w:hAnsi="Times New Roman"/>
          <w:noProof/>
          <w:lang w:val="nl-NL"/>
        </w:rPr>
      </w:pPr>
      <w:r w:rsidRPr="007E3992">
        <w:fldChar w:fldCharType="begin"/>
      </w:r>
      <w:r w:rsidRPr="007E3992">
        <w:rPr>
          <w:lang w:val="nl-NL"/>
        </w:rPr>
        <w:instrText xml:space="preserve"> ADDIN EN.REFLIST </w:instrText>
      </w:r>
      <w:r w:rsidRPr="007E3992">
        <w:fldChar w:fldCharType="separate"/>
      </w:r>
      <w:bookmarkStart w:id="1" w:name="_ENREF_1"/>
      <w:r w:rsidRPr="007E3992">
        <w:rPr>
          <w:rFonts w:ascii="Times New Roman" w:hAnsi="Times New Roman"/>
          <w:noProof/>
          <w:lang w:val="nl-NL"/>
        </w:rPr>
        <w:t>1.</w:t>
      </w:r>
      <w:r w:rsidRPr="007E3992">
        <w:rPr>
          <w:rFonts w:ascii="Times New Roman" w:hAnsi="Times New Roman"/>
          <w:noProof/>
          <w:lang w:val="nl-NL"/>
        </w:rPr>
        <w:tab/>
        <w:t xml:space="preserve">Li, L. B.; Fang, Y. P.; Vreeker, R.; Appelqvist, I.; Mendes, E. </w:t>
      </w:r>
      <w:r w:rsidRPr="007E3992">
        <w:rPr>
          <w:rFonts w:ascii="Times New Roman" w:hAnsi="Times New Roman"/>
          <w:i/>
          <w:noProof/>
          <w:lang w:val="nl-NL"/>
        </w:rPr>
        <w:t xml:space="preserve">Biomacromolecules </w:t>
      </w:r>
      <w:r w:rsidRPr="007E3992">
        <w:rPr>
          <w:rFonts w:ascii="Times New Roman" w:hAnsi="Times New Roman"/>
          <w:b/>
          <w:noProof/>
          <w:lang w:val="nl-NL"/>
        </w:rPr>
        <w:t>2007,</w:t>
      </w:r>
      <w:r w:rsidRPr="007E3992">
        <w:rPr>
          <w:rFonts w:ascii="Times New Roman" w:hAnsi="Times New Roman"/>
          <w:noProof/>
          <w:lang w:val="nl-NL"/>
        </w:rPr>
        <w:t xml:space="preserve"> </w:t>
      </w:r>
      <w:r w:rsidRPr="007E3992">
        <w:rPr>
          <w:rFonts w:ascii="Times New Roman" w:hAnsi="Times New Roman"/>
          <w:i/>
          <w:noProof/>
          <w:lang w:val="nl-NL"/>
        </w:rPr>
        <w:t>8</w:t>
      </w:r>
      <w:r w:rsidRPr="007E3992">
        <w:rPr>
          <w:rFonts w:ascii="Times New Roman" w:hAnsi="Times New Roman"/>
          <w:noProof/>
          <w:lang w:val="nl-NL"/>
        </w:rPr>
        <w:t xml:space="preserve"> (2), 464-468.</w:t>
      </w:r>
      <w:bookmarkEnd w:id="1"/>
    </w:p>
    <w:p w14:paraId="6A941822" w14:textId="77777777" w:rsidR="00C91EA3" w:rsidRPr="007E3992" w:rsidRDefault="00C91EA3" w:rsidP="00C91EA3">
      <w:pPr>
        <w:spacing w:line="480" w:lineRule="auto"/>
        <w:rPr>
          <w:rFonts w:ascii="Times New Roman" w:hAnsi="Times New Roman"/>
          <w:noProof/>
        </w:rPr>
      </w:pPr>
      <w:bookmarkStart w:id="2" w:name="_ENREF_2"/>
      <w:r w:rsidRPr="007E3992">
        <w:rPr>
          <w:rFonts w:ascii="Times New Roman" w:hAnsi="Times New Roman"/>
          <w:noProof/>
        </w:rPr>
        <w:t>2.</w:t>
      </w:r>
      <w:r w:rsidRPr="007E3992">
        <w:rPr>
          <w:rFonts w:ascii="Times New Roman" w:hAnsi="Times New Roman"/>
          <w:noProof/>
        </w:rPr>
        <w:tab/>
        <w:t xml:space="preserve">Park, S.; An, J.; Potts, J. R.; Velamakanni, A.; Murali, S.; Ruoff, R. S. </w:t>
      </w:r>
      <w:r w:rsidRPr="007E3992">
        <w:rPr>
          <w:rFonts w:ascii="Times New Roman" w:hAnsi="Times New Roman"/>
          <w:i/>
          <w:noProof/>
        </w:rPr>
        <w:t xml:space="preserve">Carbon </w:t>
      </w:r>
      <w:r w:rsidRPr="007E3992">
        <w:rPr>
          <w:rFonts w:ascii="Times New Roman" w:hAnsi="Times New Roman"/>
          <w:b/>
          <w:noProof/>
        </w:rPr>
        <w:t>2011,</w:t>
      </w:r>
      <w:r w:rsidRPr="007E3992">
        <w:rPr>
          <w:rFonts w:ascii="Times New Roman" w:hAnsi="Times New Roman"/>
          <w:noProof/>
        </w:rPr>
        <w:t xml:space="preserve"> </w:t>
      </w:r>
      <w:r w:rsidRPr="007E3992">
        <w:rPr>
          <w:rFonts w:ascii="Times New Roman" w:hAnsi="Times New Roman"/>
          <w:i/>
          <w:noProof/>
        </w:rPr>
        <w:t>49</w:t>
      </w:r>
      <w:r w:rsidRPr="007E3992">
        <w:rPr>
          <w:rFonts w:ascii="Times New Roman" w:hAnsi="Times New Roman"/>
          <w:noProof/>
        </w:rPr>
        <w:t xml:space="preserve"> (9), 3019-3023.</w:t>
      </w:r>
      <w:bookmarkEnd w:id="2"/>
    </w:p>
    <w:p w14:paraId="4E6EBCB3" w14:textId="77777777" w:rsidR="00C91EA3" w:rsidRPr="007E3992" w:rsidRDefault="00C91EA3" w:rsidP="00C91EA3">
      <w:pPr>
        <w:spacing w:line="480" w:lineRule="auto"/>
        <w:rPr>
          <w:rFonts w:ascii="Times New Roman" w:hAnsi="Times New Roman"/>
          <w:noProof/>
          <w:lang w:val="nl-NL"/>
        </w:rPr>
      </w:pPr>
      <w:bookmarkStart w:id="3" w:name="_ENREF_3"/>
      <w:r w:rsidRPr="007E3992">
        <w:rPr>
          <w:rFonts w:ascii="Times New Roman" w:hAnsi="Times New Roman"/>
          <w:noProof/>
          <w:lang w:val="nl-NL"/>
        </w:rPr>
        <w:t>3.</w:t>
      </w:r>
      <w:r w:rsidRPr="007E3992">
        <w:rPr>
          <w:rFonts w:ascii="Times New Roman" w:hAnsi="Times New Roman"/>
          <w:noProof/>
          <w:lang w:val="nl-NL"/>
        </w:rPr>
        <w:tab/>
        <w:t xml:space="preserve">Vilcinskas, K.; Norder, B.; Goubitz, K.; Mulder, F. M.; Koper, G. J. M.; Picken, S. J. </w:t>
      </w:r>
      <w:r w:rsidRPr="007E3992">
        <w:rPr>
          <w:rFonts w:ascii="Times New Roman" w:hAnsi="Times New Roman"/>
          <w:i/>
          <w:noProof/>
          <w:lang w:val="nl-NL"/>
        </w:rPr>
        <w:t xml:space="preserve">Macromolecules </w:t>
      </w:r>
      <w:r w:rsidRPr="007E3992">
        <w:rPr>
          <w:rFonts w:ascii="Times New Roman" w:hAnsi="Times New Roman"/>
          <w:b/>
          <w:noProof/>
          <w:lang w:val="nl-NL"/>
        </w:rPr>
        <w:t>2015,</w:t>
      </w:r>
      <w:r w:rsidRPr="007E3992">
        <w:rPr>
          <w:rFonts w:ascii="Times New Roman" w:hAnsi="Times New Roman"/>
          <w:noProof/>
          <w:lang w:val="nl-NL"/>
        </w:rPr>
        <w:t xml:space="preserve"> </w:t>
      </w:r>
      <w:r w:rsidRPr="007E3992">
        <w:rPr>
          <w:rFonts w:ascii="Times New Roman" w:hAnsi="Times New Roman"/>
          <w:i/>
          <w:noProof/>
          <w:lang w:val="nl-NL"/>
        </w:rPr>
        <w:t>48</w:t>
      </w:r>
      <w:r w:rsidRPr="007E3992">
        <w:rPr>
          <w:rFonts w:ascii="Times New Roman" w:hAnsi="Times New Roman"/>
          <w:noProof/>
          <w:lang w:val="nl-NL"/>
        </w:rPr>
        <w:t xml:space="preserve"> (22), 8323-8330.</w:t>
      </w:r>
      <w:bookmarkEnd w:id="3"/>
    </w:p>
    <w:p w14:paraId="0949EB88" w14:textId="77777777" w:rsidR="00C91EA3" w:rsidRPr="007E3992" w:rsidRDefault="00C91EA3" w:rsidP="00C91EA3">
      <w:pPr>
        <w:spacing w:line="480" w:lineRule="auto"/>
        <w:rPr>
          <w:noProof/>
          <w:lang w:val="nl-NL"/>
        </w:rPr>
      </w:pPr>
    </w:p>
    <w:p w14:paraId="73DD8556" w14:textId="3090D726" w:rsidR="0071680D" w:rsidRDefault="00C91EA3">
      <w:r w:rsidRPr="007E3992">
        <w:fldChar w:fldCharType="end"/>
      </w:r>
    </w:p>
    <w:sectPr w:rsidR="0071680D" w:rsidSect="00194B22">
      <w:pgSz w:w="11900" w:h="16840"/>
      <w:pgMar w:top="1440" w:right="1440" w:bottom="1440" w:left="1440" w:header="1168" w:footer="116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1&lt;/HyperlinksEnabled&gt;&lt;HyperlinksVisible&gt;0&lt;/HyperlinksVisible&gt;&lt;/ENLayout&gt;"/>
    <w:docVar w:name="EN.Libraries" w:val="&lt;Libraries&gt;&lt;item db-id=&quot;dsdev20d1axewbe2rpa52dsdwxxdvztr59t2&quot;&gt;WaterUptake&lt;record-ids&gt;&lt;item&gt;22&lt;/item&gt;&lt;item&gt;123&lt;/item&gt;&lt;item&gt;124&lt;/item&gt;&lt;/record-ids&gt;&lt;/item&gt;&lt;/Libraries&gt;"/>
  </w:docVars>
  <w:rsids>
    <w:rsidRoot w:val="00C91EA3"/>
    <w:rsid w:val="00194B22"/>
    <w:rsid w:val="00253E02"/>
    <w:rsid w:val="002948EB"/>
    <w:rsid w:val="0071680D"/>
    <w:rsid w:val="007E3992"/>
    <w:rsid w:val="00C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A4712"/>
  <w14:defaultImageDpi w14:val="300"/>
  <w15:docId w15:val="{B3447F35-E76D-479A-B014-0977F483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1EA3"/>
    <w:rPr>
      <w:rFonts w:ascii="Cambria" w:eastAsia="MS Mincho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Text">
    <w:name w:val="Main Text"/>
    <w:basedOn w:val="Normal"/>
    <w:link w:val="MainTextChar"/>
    <w:rsid w:val="00C91EA3"/>
    <w:pPr>
      <w:spacing w:line="480" w:lineRule="auto"/>
    </w:pPr>
    <w:rPr>
      <w:rFonts w:ascii="Times New Roman" w:hAnsi="Times New Roman"/>
      <w:lang w:eastAsia="ja-JP"/>
    </w:rPr>
  </w:style>
  <w:style w:type="character" w:customStyle="1" w:styleId="MainTextChar">
    <w:name w:val="Main Text Char"/>
    <w:link w:val="MainText"/>
    <w:rsid w:val="00C91EA3"/>
    <w:rPr>
      <w:rFonts w:ascii="Times New Roman" w:eastAsia="MS Mincho" w:hAnsi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E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EA3"/>
    <w:rPr>
      <w:rFonts w:ascii="Lucida Grande" w:eastAsia="MS Mincho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1E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Karolis Vilcinskas - TNW</dc:creator>
  <cp:keywords/>
  <dc:description/>
  <cp:lastModifiedBy>Ger Koper - TNW</cp:lastModifiedBy>
  <cp:revision>2</cp:revision>
  <dcterms:created xsi:type="dcterms:W3CDTF">2020-01-09T14:57:00Z</dcterms:created>
  <dcterms:modified xsi:type="dcterms:W3CDTF">2020-01-09T14:57:00Z</dcterms:modified>
</cp:coreProperties>
</file>