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4792E" w14:textId="77777777" w:rsidR="00B95872" w:rsidRDefault="00B95872" w:rsidP="00B95872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176E94AB" wp14:editId="084A24A3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BFFC" w14:textId="77777777" w:rsidR="00B95872" w:rsidRPr="00BF1BF9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>
        <w:rPr>
          <w:rFonts w:ascii="Myriad Pro" w:hAnsi="Myriad Pro"/>
          <w:i/>
          <w:sz w:val="22"/>
          <w:szCs w:val="22"/>
        </w:rPr>
        <w:t>Tectonics</w:t>
      </w:r>
    </w:p>
    <w:p w14:paraId="7AD7246C" w14:textId="77777777" w:rsidR="00B95872" w:rsidRPr="00CE6EAA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06D2D1C1" w14:textId="77777777" w:rsidR="00B9021E" w:rsidRDefault="00B9021E" w:rsidP="00B95872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r w:rsidRPr="00B9021E">
        <w:rPr>
          <w:rFonts w:ascii="Myriad Pro" w:hAnsi="Myriad Pro"/>
          <w:b/>
          <w:sz w:val="22"/>
          <w:szCs w:val="22"/>
        </w:rPr>
        <w:t>Protracted thermal evolution of a migmatitic terrane as revealed by multiple geochronometers from the retro-arc of the Paleozoic Famatinian Orogen in NW Argentina</w:t>
      </w:r>
    </w:p>
    <w:p w14:paraId="6F16E716" w14:textId="3CED8488" w:rsidR="00B95872" w:rsidRDefault="00B9021E" w:rsidP="00B95872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Pablo Farias</w:t>
      </w:r>
      <w:r w:rsidR="00B95872" w:rsidRPr="00526E49">
        <w:rPr>
          <w:rFonts w:ascii="Myriad Pro" w:hAnsi="Myriad Pro"/>
          <w:sz w:val="22"/>
          <w:szCs w:val="22"/>
          <w:vertAlign w:val="superscript"/>
        </w:rPr>
        <w:t>1</w:t>
      </w:r>
      <w:r w:rsidR="00B95872" w:rsidRPr="00526E49">
        <w:rPr>
          <w:rFonts w:ascii="Myriad Pro" w:hAnsi="Myriad Pro"/>
          <w:sz w:val="22"/>
          <w:szCs w:val="22"/>
        </w:rPr>
        <w:t>, R. F. Weinberg</w:t>
      </w:r>
      <w:r w:rsidR="00B95872" w:rsidRPr="00526E49">
        <w:rPr>
          <w:rFonts w:ascii="Myriad Pro" w:hAnsi="Myriad Pro"/>
          <w:sz w:val="22"/>
          <w:szCs w:val="22"/>
          <w:vertAlign w:val="superscript"/>
        </w:rPr>
        <w:t>1</w:t>
      </w:r>
      <w:r>
        <w:rPr>
          <w:rFonts w:ascii="Myriad Pro" w:hAnsi="Myriad Pro"/>
          <w:sz w:val="22"/>
          <w:szCs w:val="22"/>
        </w:rPr>
        <w:t xml:space="preserve"> and Alfonso Sola</w:t>
      </w:r>
      <w:r w:rsidR="00B95872">
        <w:rPr>
          <w:rFonts w:ascii="Myriad Pro" w:hAnsi="Myriad Pro"/>
          <w:sz w:val="22"/>
          <w:szCs w:val="22"/>
          <w:vertAlign w:val="superscript"/>
        </w:rPr>
        <w:t>2</w:t>
      </w:r>
    </w:p>
    <w:p w14:paraId="5CAC26EF" w14:textId="77777777" w:rsidR="00B95872" w:rsidRPr="00526E49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526E49">
        <w:rPr>
          <w:rFonts w:ascii="Myriad Pro" w:hAnsi="Myriad Pro"/>
          <w:sz w:val="18"/>
          <w:szCs w:val="18"/>
          <w:vertAlign w:val="superscript"/>
        </w:rPr>
        <w:t>1</w:t>
      </w:r>
      <w:r w:rsidRPr="00526E49">
        <w:rPr>
          <w:rFonts w:ascii="Myriad Pro" w:hAnsi="Myriad Pro"/>
          <w:sz w:val="18"/>
          <w:szCs w:val="18"/>
        </w:rPr>
        <w:t xml:space="preserve"> School of Earth, Atmosphere and the Environment, Monash University, Clayton, VIC 3800, Australia</w:t>
      </w:r>
    </w:p>
    <w:p w14:paraId="6FCC533C" w14:textId="41221D63" w:rsidR="001C2CD3" w:rsidRDefault="00B95872" w:rsidP="001C2CD3">
      <w:pPr>
        <w:pStyle w:val="Default"/>
        <w:jc w:val="center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/>
          <w:sz w:val="18"/>
          <w:szCs w:val="18"/>
          <w:vertAlign w:val="superscript"/>
        </w:rPr>
        <w:t>2</w:t>
      </w:r>
      <w:r w:rsidRPr="00526E49">
        <w:rPr>
          <w:rFonts w:ascii="Myriad Pro" w:hAnsi="Myriad Pro"/>
          <w:sz w:val="18"/>
          <w:szCs w:val="18"/>
        </w:rPr>
        <w:t xml:space="preserve"> </w:t>
      </w:r>
      <w:r w:rsidR="001C2CD3">
        <w:rPr>
          <w:rFonts w:ascii="Myriad Pro" w:hAnsi="Myriad Pro" w:cs="Myriad Pro"/>
          <w:sz w:val="18"/>
          <w:szCs w:val="18"/>
        </w:rPr>
        <w:t xml:space="preserve">Instituto </w:t>
      </w:r>
      <w:proofErr w:type="spellStart"/>
      <w:r w:rsidR="001C2CD3">
        <w:rPr>
          <w:rFonts w:ascii="Myriad Pro" w:hAnsi="Myriad Pro" w:cs="Myriad Pro"/>
          <w:sz w:val="18"/>
          <w:szCs w:val="18"/>
        </w:rPr>
        <w:t>Geonorte</w:t>
      </w:r>
      <w:proofErr w:type="spellEnd"/>
      <w:r w:rsidR="001C2CD3">
        <w:rPr>
          <w:rFonts w:ascii="Myriad Pro" w:hAnsi="Myriad Pro" w:cs="Myriad Pro"/>
          <w:sz w:val="18"/>
          <w:szCs w:val="18"/>
        </w:rPr>
        <w:t>, Universidad Nacional de Salta, INENCO-CONICET, Av. Bolivia 5150, 4400 Salta, Argentina</w:t>
      </w:r>
    </w:p>
    <w:p w14:paraId="0CA21591" w14:textId="77777777" w:rsidR="001C2CD3" w:rsidRDefault="001C2CD3" w:rsidP="001C2CD3">
      <w:pPr>
        <w:pStyle w:val="Default"/>
        <w:jc w:val="center"/>
        <w:rPr>
          <w:rFonts w:ascii="Myriad Pro" w:hAnsi="Myriad Pro" w:cs="Myriad Pro"/>
          <w:sz w:val="18"/>
          <w:szCs w:val="18"/>
        </w:rPr>
      </w:pPr>
    </w:p>
    <w:p w14:paraId="535E870C" w14:textId="7F023A55" w:rsidR="00B95872" w:rsidRPr="00B77E40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</w:p>
    <w:p w14:paraId="6C6FCA99" w14:textId="1384C26C" w:rsidR="00B95872" w:rsidRPr="00CE6EAA" w:rsidRDefault="00B95872" w:rsidP="00B9021E">
      <w:pPr>
        <w:spacing w:before="100" w:beforeAutospacing="1" w:after="100" w:afterAutospacing="1"/>
        <w:rPr>
          <w:rFonts w:ascii="Myriad Pro" w:hAnsi="Myriad Pro"/>
          <w:sz w:val="22"/>
          <w:szCs w:val="22"/>
        </w:rPr>
      </w:pPr>
    </w:p>
    <w:p w14:paraId="17BC375C" w14:textId="77777777" w:rsidR="00B95872" w:rsidRDefault="00B95872" w:rsidP="00B95872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>
        <w:rPr>
          <w:rFonts w:ascii="Myriad Pro" w:hAnsi="Myriad Pro"/>
          <w:b/>
        </w:rPr>
        <w:t xml:space="preserve"> </w:t>
      </w:r>
    </w:p>
    <w:p w14:paraId="2AA48DEE" w14:textId="77777777" w:rsidR="00B95872" w:rsidRPr="00E40896" w:rsidRDefault="00B95872" w:rsidP="00B95872">
      <w:pPr>
        <w:rPr>
          <w:rFonts w:ascii="Myriad Pro" w:hAnsi="Myriad Pro"/>
        </w:rPr>
      </w:pPr>
    </w:p>
    <w:p w14:paraId="05E59E35" w14:textId="6BDBCE21" w:rsidR="00B95872" w:rsidRPr="00CE6EAA" w:rsidRDefault="00B9021E" w:rsidP="00B95872">
      <w:pPr>
        <w:ind w:left="72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Tables </w:t>
      </w:r>
      <w:r w:rsidR="00B95872" w:rsidRPr="00CE6EAA">
        <w:rPr>
          <w:rFonts w:ascii="Myriad Pro" w:hAnsi="Myriad Pro"/>
          <w:sz w:val="22"/>
          <w:szCs w:val="22"/>
        </w:rPr>
        <w:t>S1 to S</w:t>
      </w:r>
      <w:r w:rsidR="00282871">
        <w:rPr>
          <w:rFonts w:ascii="Myriad Pro" w:hAnsi="Myriad Pro"/>
          <w:sz w:val="22"/>
          <w:szCs w:val="22"/>
        </w:rPr>
        <w:t>6</w:t>
      </w:r>
    </w:p>
    <w:p w14:paraId="54F31A50" w14:textId="77777777" w:rsidR="00B95872" w:rsidRPr="00E40896" w:rsidRDefault="00B95872" w:rsidP="00B95872">
      <w:pPr>
        <w:ind w:left="720"/>
        <w:rPr>
          <w:rFonts w:ascii="Myriad Pro" w:hAnsi="Myriad Pro"/>
        </w:rPr>
      </w:pPr>
    </w:p>
    <w:p w14:paraId="0D455EB6" w14:textId="77777777" w:rsidR="00B95872" w:rsidRPr="00CE6EAA" w:rsidRDefault="00B95872" w:rsidP="00B95872">
      <w:pPr>
        <w:spacing w:before="100" w:beforeAutospacing="1" w:after="100" w:afterAutospacing="1"/>
        <w:rPr>
          <w:rFonts w:ascii="Myriad Pro" w:hAnsi="Myriad Pro"/>
          <w:b/>
          <w:szCs w:val="24"/>
        </w:rPr>
      </w:pPr>
      <w:r w:rsidRPr="00CE6EAA">
        <w:rPr>
          <w:rFonts w:ascii="Myriad Pro" w:hAnsi="Myriad Pro"/>
          <w:b/>
          <w:bCs/>
          <w:szCs w:val="24"/>
        </w:rPr>
        <w:t>Introduction</w:t>
      </w:r>
      <w:r w:rsidRPr="00CE6EAA">
        <w:rPr>
          <w:rFonts w:ascii="Myriad Pro" w:hAnsi="Myriad Pro"/>
          <w:b/>
          <w:szCs w:val="24"/>
        </w:rPr>
        <w:t xml:space="preserve"> </w:t>
      </w:r>
    </w:p>
    <w:p w14:paraId="486F41BF" w14:textId="2ACA86AF" w:rsidR="001C2CD3" w:rsidRPr="00222C9B" w:rsidRDefault="001C2CD3" w:rsidP="00222C9B">
      <w:pPr>
        <w:spacing w:before="100" w:beforeAutospacing="1" w:after="100" w:afterAutospacing="1"/>
        <w:rPr>
          <w:rFonts w:ascii="Myriad Pro" w:hAnsi="Myriad Pro"/>
          <w:bCs/>
          <w:sz w:val="22"/>
          <w:szCs w:val="22"/>
        </w:rPr>
      </w:pPr>
      <w:r>
        <w:rPr>
          <w:rFonts w:ascii="Myriad Pro" w:hAnsi="Myriad Pro"/>
          <w:sz w:val="22"/>
          <w:szCs w:val="22"/>
        </w:rPr>
        <w:t>The tables list U-Pb isotopes and trace element composition of zircon, monazite and titanite, as well as whole-rock geochemistry.</w:t>
      </w:r>
      <w:r w:rsidR="00222C9B">
        <w:rPr>
          <w:rFonts w:ascii="Myriad Pro" w:hAnsi="Myriad Pro"/>
          <w:sz w:val="22"/>
          <w:szCs w:val="22"/>
        </w:rPr>
        <w:t xml:space="preserve"> </w:t>
      </w:r>
      <w:r w:rsidR="00222C9B" w:rsidRPr="00222C9B">
        <w:rPr>
          <w:rFonts w:ascii="Myriad Pro" w:hAnsi="Myriad Pro"/>
          <w:bCs/>
          <w:sz w:val="22"/>
          <w:szCs w:val="22"/>
          <w:lang w:val="en-GB"/>
        </w:rPr>
        <w:t xml:space="preserve">They are results of LA-ICP-MS analyses of </w:t>
      </w:r>
      <w:r w:rsidRPr="00222C9B">
        <w:rPr>
          <w:rFonts w:ascii="Myriad Pro" w:hAnsi="Myriad Pro"/>
          <w:bCs/>
          <w:sz w:val="22"/>
          <w:szCs w:val="22"/>
          <w:lang w:val="en-GB"/>
        </w:rPr>
        <w:t xml:space="preserve">samples from the Agua del Sapo Complex, Sierra de Quilmes in NW Argentina, part of the retro-arc of the Famatinian Orogen. </w:t>
      </w:r>
      <w:r w:rsidRPr="00222C9B">
        <w:rPr>
          <w:rFonts w:ascii="Myriad Pro" w:hAnsi="Myriad Pro"/>
          <w:bCs/>
          <w:sz w:val="22"/>
          <w:szCs w:val="22"/>
        </w:rPr>
        <w:t>The methodology is detailed in the main body of the manuscript. The tables are uploaded as separate files and can be found at 4TU online data repository.</w:t>
      </w:r>
    </w:p>
    <w:p w14:paraId="6F3A0FA1" w14:textId="77777777" w:rsidR="001C2CD3" w:rsidRPr="00E40896" w:rsidRDefault="001C2CD3" w:rsidP="001C2CD3">
      <w:pPr>
        <w:rPr>
          <w:rFonts w:ascii="Myriad Pro" w:hAnsi="Myriad Pro"/>
        </w:rPr>
      </w:pPr>
    </w:p>
    <w:p w14:paraId="21768C20" w14:textId="4332B158" w:rsidR="001C2CD3" w:rsidRDefault="001C2CD3" w:rsidP="001C2CD3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>Table S</w:t>
      </w:r>
      <w:r w:rsidR="00282871">
        <w:rPr>
          <w:rFonts w:ascii="Myriad Pro" w:hAnsi="Myriad Pro"/>
          <w:sz w:val="22"/>
          <w:szCs w:val="22"/>
        </w:rPr>
        <w:t>1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="00222C9B" w:rsidRPr="00222C9B">
        <w:rPr>
          <w:rFonts w:ascii="Myriad Pro" w:hAnsi="Myriad Pro"/>
          <w:b w:val="0"/>
          <w:bCs w:val="0"/>
          <w:sz w:val="22"/>
          <w:szCs w:val="22"/>
        </w:rPr>
        <w:t xml:space="preserve">U-Pb </w:t>
      </w:r>
      <w:r w:rsidR="00222C9B">
        <w:rPr>
          <w:rFonts w:ascii="Myriad Pro" w:hAnsi="Myriad Pro"/>
          <w:b w:val="0"/>
          <w:bCs w:val="0"/>
          <w:sz w:val="22"/>
          <w:szCs w:val="22"/>
        </w:rPr>
        <w:t xml:space="preserve">isotope </w:t>
      </w:r>
      <w:r w:rsidR="00222C9B" w:rsidRPr="00222C9B">
        <w:rPr>
          <w:rFonts w:ascii="Myriad Pro" w:hAnsi="Myriad Pro"/>
          <w:b w:val="0"/>
          <w:bCs w:val="0"/>
          <w:sz w:val="22"/>
          <w:szCs w:val="22"/>
        </w:rPr>
        <w:t xml:space="preserve">data for </w:t>
      </w:r>
      <w:r>
        <w:rPr>
          <w:rFonts w:ascii="Myriad Pro" w:hAnsi="Myriad Pro"/>
          <w:b w:val="0"/>
          <w:sz w:val="22"/>
          <w:szCs w:val="22"/>
          <w:lang w:val="en-GB"/>
        </w:rPr>
        <w:t>zircon</w:t>
      </w:r>
      <w:r w:rsidR="00222C9B">
        <w:rPr>
          <w:rFonts w:ascii="Myriad Pro" w:hAnsi="Myriad Pro"/>
          <w:b w:val="0"/>
          <w:sz w:val="22"/>
          <w:szCs w:val="22"/>
          <w:lang w:val="en-GB"/>
        </w:rPr>
        <w:t xml:space="preserve"> samples</w:t>
      </w:r>
      <w:r w:rsidR="0060663E">
        <w:rPr>
          <w:rFonts w:ascii="Myriad Pro" w:hAnsi="Myriad Pro"/>
          <w:b w:val="0"/>
          <w:sz w:val="22"/>
          <w:szCs w:val="22"/>
          <w:lang w:val="en-GB"/>
        </w:rPr>
        <w:t xml:space="preserve"> for unknowns and reference materials</w:t>
      </w:r>
      <w:r>
        <w:rPr>
          <w:rFonts w:ascii="Myriad Pro" w:hAnsi="Myriad Pro"/>
          <w:b w:val="0"/>
          <w:sz w:val="22"/>
          <w:szCs w:val="22"/>
          <w:lang w:val="en-GB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</w:t>
      </w:r>
    </w:p>
    <w:p w14:paraId="5BEA6C2F" w14:textId="0EC1BCC3" w:rsidR="001C2CD3" w:rsidRDefault="001C2CD3" w:rsidP="001C2CD3">
      <w:pPr>
        <w:pStyle w:val="SMHeading"/>
        <w:rPr>
          <w:rFonts w:ascii="Myriad Pro" w:hAnsi="Myriad Pro"/>
          <w:b w:val="0"/>
          <w:sz w:val="22"/>
          <w:szCs w:val="22"/>
        </w:rPr>
      </w:pPr>
      <w:r w:rsidRPr="00F66A76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2</w:t>
      </w:r>
      <w:r w:rsidRPr="00F66A76">
        <w:rPr>
          <w:rFonts w:ascii="Myriad Pro" w:hAnsi="Myriad Pro"/>
          <w:sz w:val="22"/>
          <w:szCs w:val="22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Trace element </w:t>
      </w:r>
      <w:r w:rsidR="00222C9B">
        <w:rPr>
          <w:rFonts w:ascii="Myriad Pro" w:hAnsi="Myriad Pro"/>
          <w:b w:val="0"/>
          <w:sz w:val="22"/>
          <w:szCs w:val="22"/>
        </w:rPr>
        <w:t>data</w:t>
      </w:r>
      <w:r>
        <w:rPr>
          <w:rFonts w:ascii="Myriad Pro" w:hAnsi="Myriad Pro"/>
          <w:b w:val="0"/>
          <w:sz w:val="22"/>
          <w:szCs w:val="22"/>
        </w:rPr>
        <w:t xml:space="preserve"> </w:t>
      </w:r>
      <w:r w:rsidR="00222C9B" w:rsidRPr="00222C9B">
        <w:rPr>
          <w:rFonts w:ascii="Myriad Pro" w:hAnsi="Myriad Pro"/>
          <w:b w:val="0"/>
          <w:bCs w:val="0"/>
          <w:sz w:val="22"/>
          <w:szCs w:val="22"/>
        </w:rPr>
        <w:t xml:space="preserve">for </w:t>
      </w:r>
      <w:r w:rsidR="00222C9B">
        <w:rPr>
          <w:rFonts w:ascii="Myriad Pro" w:hAnsi="Myriad Pro"/>
          <w:b w:val="0"/>
          <w:sz w:val="22"/>
          <w:szCs w:val="22"/>
          <w:lang w:val="en-GB"/>
        </w:rPr>
        <w:t>zircon samples</w:t>
      </w:r>
      <w:r w:rsidR="0060663E">
        <w:rPr>
          <w:rFonts w:ascii="Myriad Pro" w:hAnsi="Myriad Pro"/>
          <w:b w:val="0"/>
          <w:sz w:val="22"/>
          <w:szCs w:val="22"/>
          <w:lang w:val="en-GB"/>
        </w:rPr>
        <w:t xml:space="preserve"> for unknowns and reference materials</w:t>
      </w:r>
      <w:r w:rsidR="00222C9B">
        <w:rPr>
          <w:rFonts w:ascii="Myriad Pro" w:hAnsi="Myriad Pro"/>
          <w:b w:val="0"/>
          <w:sz w:val="22"/>
          <w:szCs w:val="22"/>
        </w:rPr>
        <w:t>.</w:t>
      </w:r>
    </w:p>
    <w:p w14:paraId="55FD0DA5" w14:textId="17608947" w:rsidR="00222C9B" w:rsidRDefault="00222C9B" w:rsidP="001C2CD3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3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Pr="00222C9B">
        <w:rPr>
          <w:rFonts w:ascii="Myriad Pro" w:hAnsi="Myriad Pro"/>
          <w:b w:val="0"/>
          <w:bCs w:val="0"/>
          <w:sz w:val="22"/>
          <w:szCs w:val="22"/>
        </w:rPr>
        <w:t xml:space="preserve">U-Pb </w:t>
      </w:r>
      <w:r>
        <w:rPr>
          <w:rFonts w:ascii="Myriad Pro" w:hAnsi="Myriad Pro"/>
          <w:b w:val="0"/>
          <w:bCs w:val="0"/>
          <w:sz w:val="22"/>
          <w:szCs w:val="22"/>
        </w:rPr>
        <w:t xml:space="preserve">isotope </w:t>
      </w:r>
      <w:r w:rsidRPr="00222C9B">
        <w:rPr>
          <w:rFonts w:ascii="Myriad Pro" w:hAnsi="Myriad Pro"/>
          <w:b w:val="0"/>
          <w:bCs w:val="0"/>
          <w:sz w:val="22"/>
          <w:szCs w:val="22"/>
        </w:rPr>
        <w:t xml:space="preserve">data for </w:t>
      </w:r>
      <w:r>
        <w:rPr>
          <w:rFonts w:ascii="Myriad Pro" w:hAnsi="Myriad Pro"/>
          <w:b w:val="0"/>
          <w:sz w:val="22"/>
          <w:szCs w:val="22"/>
          <w:lang w:val="en-GB"/>
        </w:rPr>
        <w:t>monazite samples</w:t>
      </w:r>
      <w:r w:rsidR="0060663E">
        <w:rPr>
          <w:rFonts w:ascii="Myriad Pro" w:hAnsi="Myriad Pro"/>
          <w:b w:val="0"/>
          <w:sz w:val="22"/>
          <w:szCs w:val="22"/>
          <w:lang w:val="en-GB"/>
        </w:rPr>
        <w:t xml:space="preserve"> for unknowns and reference materials</w:t>
      </w:r>
      <w:r>
        <w:rPr>
          <w:rFonts w:ascii="Myriad Pro" w:hAnsi="Myriad Pro"/>
          <w:b w:val="0"/>
          <w:sz w:val="22"/>
          <w:szCs w:val="22"/>
          <w:lang w:val="en-GB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</w:t>
      </w:r>
    </w:p>
    <w:p w14:paraId="16B387C6" w14:textId="6B466EE5" w:rsidR="00222C9B" w:rsidRDefault="00222C9B" w:rsidP="00222C9B">
      <w:pPr>
        <w:pStyle w:val="SMHeading"/>
        <w:rPr>
          <w:rFonts w:ascii="Myriad Pro" w:hAnsi="Myriad Pro"/>
          <w:b w:val="0"/>
          <w:sz w:val="22"/>
          <w:szCs w:val="22"/>
        </w:rPr>
      </w:pPr>
      <w:r w:rsidRPr="00F66A76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4</w:t>
      </w:r>
      <w:r w:rsidRPr="00F66A76">
        <w:rPr>
          <w:rFonts w:ascii="Myriad Pro" w:hAnsi="Myriad Pro"/>
          <w:sz w:val="22"/>
          <w:szCs w:val="22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Trace element </w:t>
      </w:r>
      <w:r w:rsidRPr="00222C9B">
        <w:rPr>
          <w:rFonts w:ascii="Myriad Pro" w:hAnsi="Myriad Pro"/>
          <w:b w:val="0"/>
          <w:bCs w:val="0"/>
          <w:sz w:val="22"/>
          <w:szCs w:val="22"/>
        </w:rPr>
        <w:t xml:space="preserve">data for </w:t>
      </w:r>
      <w:r>
        <w:rPr>
          <w:rFonts w:ascii="Myriad Pro" w:hAnsi="Myriad Pro"/>
          <w:b w:val="0"/>
          <w:sz w:val="22"/>
          <w:szCs w:val="22"/>
          <w:lang w:val="en-GB"/>
        </w:rPr>
        <w:t>titanite samples</w:t>
      </w:r>
      <w:r w:rsidR="0060663E">
        <w:rPr>
          <w:rFonts w:ascii="Myriad Pro" w:hAnsi="Myriad Pro"/>
          <w:b w:val="0"/>
          <w:sz w:val="22"/>
          <w:szCs w:val="22"/>
          <w:lang w:val="en-GB"/>
        </w:rPr>
        <w:t xml:space="preserve"> for unknowns and reference materials</w:t>
      </w:r>
      <w:r>
        <w:rPr>
          <w:rFonts w:ascii="Myriad Pro" w:hAnsi="Myriad Pro"/>
          <w:b w:val="0"/>
          <w:sz w:val="22"/>
          <w:szCs w:val="22"/>
        </w:rPr>
        <w:t>.</w:t>
      </w:r>
    </w:p>
    <w:p w14:paraId="1B51B97B" w14:textId="1AEAA8C7" w:rsidR="00222C9B" w:rsidRDefault="00222C9B" w:rsidP="00222C9B">
      <w:pPr>
        <w:pStyle w:val="SMHeading"/>
        <w:rPr>
          <w:rFonts w:ascii="Myriad Pro" w:hAnsi="Myriad Pro"/>
          <w:b w:val="0"/>
          <w:sz w:val="22"/>
          <w:szCs w:val="22"/>
        </w:rPr>
      </w:pPr>
      <w:r w:rsidRPr="00F66A76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5</w:t>
      </w:r>
      <w:r w:rsidRPr="00F66A76">
        <w:rPr>
          <w:rFonts w:ascii="Myriad Pro" w:hAnsi="Myriad Pro"/>
          <w:sz w:val="22"/>
          <w:szCs w:val="22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Whole-rock geochemistry.</w:t>
      </w:r>
    </w:p>
    <w:p w14:paraId="489BBDD2" w14:textId="0C3F48A6" w:rsidR="00282871" w:rsidRDefault="00282871" w:rsidP="00282871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>Table S</w:t>
      </w:r>
      <w:r>
        <w:rPr>
          <w:rFonts w:ascii="Myriad Pro" w:hAnsi="Myriad Pro"/>
          <w:sz w:val="22"/>
          <w:szCs w:val="22"/>
        </w:rPr>
        <w:t>6</w:t>
      </w:r>
      <w:r w:rsidRPr="005314B5">
        <w:rPr>
          <w:rFonts w:ascii="Myriad Pro" w:hAnsi="Myriad Pro"/>
          <w:sz w:val="22"/>
          <w:szCs w:val="22"/>
        </w:rPr>
        <w:t xml:space="preserve">. </w:t>
      </w:r>
      <w:r>
        <w:rPr>
          <w:rFonts w:ascii="Myriad Pro" w:hAnsi="Myriad Pro"/>
          <w:b w:val="0"/>
          <w:sz w:val="22"/>
          <w:szCs w:val="22"/>
          <w:lang w:val="en-GB"/>
        </w:rPr>
        <w:t xml:space="preserve">Mineral chemistry data for garnet, plagioclase and biotite for sample </w:t>
      </w:r>
      <w:r w:rsidRPr="00222C9B">
        <w:rPr>
          <w:rFonts w:ascii="Myriad Pro" w:hAnsi="Myriad Pro"/>
          <w:b w:val="0"/>
          <w:sz w:val="22"/>
          <w:szCs w:val="22"/>
          <w:lang w:val="en-GB"/>
        </w:rPr>
        <w:t>SQ17-34b</w:t>
      </w:r>
      <w:r>
        <w:rPr>
          <w:rFonts w:ascii="Myriad Pro" w:hAnsi="Myriad Pro"/>
          <w:b w:val="0"/>
          <w:sz w:val="22"/>
          <w:szCs w:val="22"/>
          <w:lang w:val="en-GB"/>
        </w:rPr>
        <w:t xml:space="preserve"> used for ther</w:t>
      </w:r>
      <w:bookmarkStart w:id="0" w:name="_GoBack"/>
      <w:bookmarkEnd w:id="0"/>
      <w:r>
        <w:rPr>
          <w:rFonts w:ascii="Myriad Pro" w:hAnsi="Myriad Pro"/>
          <w:b w:val="0"/>
          <w:sz w:val="22"/>
          <w:szCs w:val="22"/>
          <w:lang w:val="en-GB"/>
        </w:rPr>
        <w:t>modynamic phase equilibrium calculations.</w:t>
      </w:r>
      <w:r>
        <w:rPr>
          <w:rFonts w:ascii="Myriad Pro" w:hAnsi="Myriad Pro"/>
          <w:b w:val="0"/>
          <w:sz w:val="22"/>
          <w:szCs w:val="22"/>
        </w:rPr>
        <w:t xml:space="preserve"> </w:t>
      </w:r>
    </w:p>
    <w:p w14:paraId="542C7545" w14:textId="77777777" w:rsidR="00282871" w:rsidRPr="005314B5" w:rsidRDefault="00282871" w:rsidP="00222C9B">
      <w:pPr>
        <w:pStyle w:val="SMHeading"/>
        <w:rPr>
          <w:rFonts w:ascii="Myriad Pro" w:hAnsi="Myriad Pro"/>
          <w:sz w:val="22"/>
          <w:szCs w:val="22"/>
        </w:rPr>
      </w:pPr>
    </w:p>
    <w:p w14:paraId="0D0DD981" w14:textId="77777777" w:rsidR="00222C9B" w:rsidRPr="005314B5" w:rsidRDefault="00222C9B" w:rsidP="00222C9B">
      <w:pPr>
        <w:pStyle w:val="SMHeading"/>
        <w:rPr>
          <w:rFonts w:ascii="Myriad Pro" w:hAnsi="Myriad Pro"/>
          <w:sz w:val="22"/>
          <w:szCs w:val="22"/>
        </w:rPr>
      </w:pPr>
    </w:p>
    <w:p w14:paraId="0CD6C415" w14:textId="77777777" w:rsidR="00222C9B" w:rsidRPr="005314B5" w:rsidRDefault="00222C9B" w:rsidP="001C2CD3">
      <w:pPr>
        <w:pStyle w:val="SMHeading"/>
        <w:rPr>
          <w:rFonts w:ascii="Myriad Pro" w:hAnsi="Myriad Pro"/>
          <w:sz w:val="22"/>
          <w:szCs w:val="22"/>
        </w:rPr>
      </w:pPr>
    </w:p>
    <w:p w14:paraId="041953A9" w14:textId="1EE86D6E" w:rsidR="00E84D09" w:rsidRPr="00E84D09" w:rsidRDefault="00E84D09" w:rsidP="00E84D09">
      <w:pPr>
        <w:pStyle w:val="SMHeading"/>
        <w:rPr>
          <w:rFonts w:ascii="Myriad Pro" w:hAnsi="Myriad Pro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 xml:space="preserve"> </w:t>
      </w:r>
    </w:p>
    <w:sectPr w:rsidR="00E84D09" w:rsidRPr="00E84D09" w:rsidSect="00B95872">
      <w:headerReference w:type="default" r:id="rId8"/>
      <w:footerReference w:type="default" r:id="rId9"/>
      <w:pgSz w:w="12240" w:h="15840"/>
      <w:pgMar w:top="964" w:right="1797" w:bottom="964" w:left="179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0BAC4" w14:textId="77777777" w:rsidR="00741411" w:rsidRDefault="00741411">
      <w:r>
        <w:separator/>
      </w:r>
    </w:p>
  </w:endnote>
  <w:endnote w:type="continuationSeparator" w:id="0">
    <w:p w14:paraId="6DC117A1" w14:textId="77777777" w:rsidR="00741411" w:rsidRDefault="0074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8E7ED" w14:textId="77777777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Footer"/>
    </w:pPr>
  </w:p>
  <w:p w14:paraId="2356789B" w14:textId="77777777" w:rsidR="00284E3C" w:rsidRDefault="00284E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59CC9" w14:textId="77777777" w:rsidR="00741411" w:rsidRDefault="00741411">
      <w:r>
        <w:separator/>
      </w:r>
    </w:p>
  </w:footnote>
  <w:footnote w:type="continuationSeparator" w:id="0">
    <w:p w14:paraId="7D8BB6DE" w14:textId="77777777" w:rsidR="00741411" w:rsidRDefault="00741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  <w:p w14:paraId="1FD76F19" w14:textId="77777777" w:rsidR="00284E3C" w:rsidRDefault="00284E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4DB"/>
    <w:rsid w:val="00130743"/>
    <w:rsid w:val="00130B50"/>
    <w:rsid w:val="0016337A"/>
    <w:rsid w:val="00164269"/>
    <w:rsid w:val="001966FD"/>
    <w:rsid w:val="00197826"/>
    <w:rsid w:val="001A1BDE"/>
    <w:rsid w:val="001C2CD3"/>
    <w:rsid w:val="001C7B4E"/>
    <w:rsid w:val="001F0876"/>
    <w:rsid w:val="001F167C"/>
    <w:rsid w:val="001F5E91"/>
    <w:rsid w:val="0020183F"/>
    <w:rsid w:val="002077B9"/>
    <w:rsid w:val="002213BC"/>
    <w:rsid w:val="00221C70"/>
    <w:rsid w:val="00222C9B"/>
    <w:rsid w:val="002251AF"/>
    <w:rsid w:val="00227D86"/>
    <w:rsid w:val="00243B68"/>
    <w:rsid w:val="00262D72"/>
    <w:rsid w:val="002800B6"/>
    <w:rsid w:val="00282871"/>
    <w:rsid w:val="00284E3C"/>
    <w:rsid w:val="002B35D4"/>
    <w:rsid w:val="002C030F"/>
    <w:rsid w:val="002F3966"/>
    <w:rsid w:val="00320E2C"/>
    <w:rsid w:val="00331D75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568BC"/>
    <w:rsid w:val="004571D5"/>
    <w:rsid w:val="00462F1B"/>
    <w:rsid w:val="0046356B"/>
    <w:rsid w:val="00477182"/>
    <w:rsid w:val="004779CB"/>
    <w:rsid w:val="00481118"/>
    <w:rsid w:val="004B2481"/>
    <w:rsid w:val="004C1199"/>
    <w:rsid w:val="004D2A8C"/>
    <w:rsid w:val="004E42D8"/>
    <w:rsid w:val="004E7BA2"/>
    <w:rsid w:val="004F7EDF"/>
    <w:rsid w:val="005001AC"/>
    <w:rsid w:val="00517016"/>
    <w:rsid w:val="00526E49"/>
    <w:rsid w:val="00527D71"/>
    <w:rsid w:val="00527D84"/>
    <w:rsid w:val="005314B5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0663E"/>
    <w:rsid w:val="00611F9E"/>
    <w:rsid w:val="006237D4"/>
    <w:rsid w:val="006461F2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F602A"/>
    <w:rsid w:val="007108F5"/>
    <w:rsid w:val="00713AF2"/>
    <w:rsid w:val="00713E5B"/>
    <w:rsid w:val="007402FC"/>
    <w:rsid w:val="00740647"/>
    <w:rsid w:val="007411A1"/>
    <w:rsid w:val="00741411"/>
    <w:rsid w:val="007563F2"/>
    <w:rsid w:val="00764008"/>
    <w:rsid w:val="00770EA8"/>
    <w:rsid w:val="00807D35"/>
    <w:rsid w:val="008115D9"/>
    <w:rsid w:val="00825950"/>
    <w:rsid w:val="00885C9B"/>
    <w:rsid w:val="008927D0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021E"/>
    <w:rsid w:val="00B93DBA"/>
    <w:rsid w:val="00B9440A"/>
    <w:rsid w:val="00B952C1"/>
    <w:rsid w:val="00B95872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C1384"/>
    <w:rsid w:val="00CD3720"/>
    <w:rsid w:val="00CE6EAA"/>
    <w:rsid w:val="00CF1848"/>
    <w:rsid w:val="00CF5C2F"/>
    <w:rsid w:val="00D04BCF"/>
    <w:rsid w:val="00D10134"/>
    <w:rsid w:val="00D143D9"/>
    <w:rsid w:val="00D17CBE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63760"/>
    <w:rsid w:val="00E64049"/>
    <w:rsid w:val="00E84D0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paragraph" w:customStyle="1" w:styleId="Default">
    <w:name w:val="Default"/>
    <w:rsid w:val="001C2CD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221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Roberto Weinberg</cp:lastModifiedBy>
  <cp:revision>11</cp:revision>
  <cp:lastPrinted>2014-09-30T16:49:00Z</cp:lastPrinted>
  <dcterms:created xsi:type="dcterms:W3CDTF">2016-06-06T17:38:00Z</dcterms:created>
  <dcterms:modified xsi:type="dcterms:W3CDTF">2022-09-07T06:11:00Z</dcterms:modified>
</cp:coreProperties>
</file>